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5C" w:rsidRPr="00657D69" w:rsidRDefault="003B755C" w:rsidP="00E41453">
      <w:pPr>
        <w:ind w:right="-213"/>
        <w:jc w:val="center"/>
        <w:rPr>
          <w:b/>
          <w:spacing w:val="20"/>
          <w:sz w:val="22"/>
          <w:szCs w:val="22"/>
        </w:rPr>
      </w:pPr>
      <w:r w:rsidRPr="00657D69">
        <w:rPr>
          <w:b/>
          <w:spacing w:val="20"/>
          <w:sz w:val="22"/>
          <w:szCs w:val="22"/>
        </w:rPr>
        <w:t>SABIEDRĪBAS AR IEROBEŽOTU ATBILDĪBU</w:t>
      </w:r>
    </w:p>
    <w:p w:rsidR="003B755C" w:rsidRPr="00657D69" w:rsidRDefault="003B755C" w:rsidP="00E41453">
      <w:pPr>
        <w:ind w:right="-213"/>
        <w:jc w:val="center"/>
        <w:rPr>
          <w:b/>
          <w:spacing w:val="20"/>
          <w:sz w:val="22"/>
          <w:szCs w:val="22"/>
        </w:rPr>
      </w:pPr>
      <w:r w:rsidRPr="00657D69">
        <w:rPr>
          <w:b/>
          <w:spacing w:val="20"/>
          <w:sz w:val="22"/>
          <w:szCs w:val="22"/>
        </w:rPr>
        <w:t>„JŪRMALAS ŪDENS”</w:t>
      </w:r>
    </w:p>
    <w:p w:rsidR="003B755C" w:rsidRPr="00657D69" w:rsidRDefault="003B755C" w:rsidP="001652CC">
      <w:pPr>
        <w:tabs>
          <w:tab w:val="left" w:pos="0"/>
          <w:tab w:val="left" w:pos="180"/>
          <w:tab w:val="left" w:pos="8820"/>
          <w:tab w:val="left" w:pos="9000"/>
          <w:tab w:val="left" w:pos="9180"/>
        </w:tabs>
        <w:ind w:left="180" w:right="153"/>
        <w:jc w:val="center"/>
        <w:rPr>
          <w:b/>
          <w:sz w:val="22"/>
          <w:szCs w:val="22"/>
        </w:rPr>
      </w:pPr>
    </w:p>
    <w:p w:rsidR="003B755C" w:rsidRPr="00657D69" w:rsidRDefault="003B755C" w:rsidP="00543F3C">
      <w:pPr>
        <w:tabs>
          <w:tab w:val="left" w:pos="0"/>
          <w:tab w:val="left" w:pos="180"/>
          <w:tab w:val="left" w:pos="8820"/>
          <w:tab w:val="left" w:pos="9000"/>
          <w:tab w:val="left" w:pos="9180"/>
        </w:tabs>
        <w:ind w:left="180" w:right="153"/>
        <w:jc w:val="center"/>
        <w:rPr>
          <w:b/>
          <w:sz w:val="22"/>
          <w:szCs w:val="22"/>
        </w:rPr>
      </w:pPr>
      <w:r>
        <w:rPr>
          <w:b/>
          <w:sz w:val="22"/>
          <w:szCs w:val="22"/>
        </w:rPr>
        <w:t xml:space="preserve">iepirkuma ar ID Nr. </w:t>
      </w:r>
      <w:r w:rsidR="00543F3C" w:rsidRPr="008B1E3C">
        <w:rPr>
          <w:b/>
          <w:sz w:val="22"/>
          <w:szCs w:val="20"/>
        </w:rPr>
        <w:t>M-JU-06/2014</w:t>
      </w:r>
    </w:p>
    <w:p w:rsidR="003B755C" w:rsidRPr="00657D69" w:rsidRDefault="003B755C" w:rsidP="001652CC">
      <w:pPr>
        <w:pStyle w:val="BodyText2"/>
        <w:tabs>
          <w:tab w:val="left" w:pos="180"/>
        </w:tabs>
        <w:spacing w:line="240" w:lineRule="auto"/>
        <w:ind w:left="180" w:right="153"/>
        <w:jc w:val="center"/>
        <w:rPr>
          <w:b/>
          <w:szCs w:val="22"/>
        </w:rPr>
      </w:pPr>
      <w:r w:rsidRPr="00657D69">
        <w:rPr>
          <w:b/>
          <w:szCs w:val="22"/>
        </w:rPr>
        <w:t xml:space="preserve"> „</w:t>
      </w:r>
      <w:r w:rsidR="00543F3C">
        <w:rPr>
          <w:b/>
          <w:szCs w:val="22"/>
        </w:rPr>
        <w:t>P</w:t>
      </w:r>
      <w:r w:rsidR="00543F3C" w:rsidRPr="00E21F29">
        <w:rPr>
          <w:b/>
          <w:bCs/>
        </w:rPr>
        <w:t>ar tiesībām veikt</w:t>
      </w:r>
      <w:r w:rsidR="00543F3C">
        <w:rPr>
          <w:b/>
          <w:bCs/>
        </w:rPr>
        <w:t xml:space="preserve"> </w:t>
      </w:r>
      <w:r w:rsidR="00543F3C" w:rsidRPr="008B1E3C">
        <w:rPr>
          <w:b/>
        </w:rPr>
        <w:t>meliorācijas novadgrāvja uzturēšanas darbus Zvejas ielā</w:t>
      </w:r>
      <w:r w:rsidRPr="00E21F29">
        <w:rPr>
          <w:b/>
          <w:bCs/>
        </w:rPr>
        <w:t>, Jūrmalā</w:t>
      </w:r>
      <w:r w:rsidRPr="00C14789">
        <w:rPr>
          <w:b/>
          <w:bCs/>
        </w:rPr>
        <w:t xml:space="preserve"> </w:t>
      </w:r>
      <w:r w:rsidRPr="00127E7E">
        <w:rPr>
          <w:b/>
          <w:bCs/>
        </w:rPr>
        <w:t>saskaņā ar līguma noteikumiem</w:t>
      </w:r>
      <w:r w:rsidRPr="00657D69">
        <w:rPr>
          <w:b/>
          <w:szCs w:val="22"/>
        </w:rPr>
        <w:t>”</w:t>
      </w:r>
    </w:p>
    <w:p w:rsidR="003B755C" w:rsidRPr="00657D69" w:rsidRDefault="003B755C" w:rsidP="001652CC">
      <w:pPr>
        <w:pStyle w:val="BodyText2"/>
        <w:tabs>
          <w:tab w:val="left" w:pos="180"/>
        </w:tabs>
        <w:spacing w:line="240" w:lineRule="auto"/>
        <w:ind w:left="180" w:right="153"/>
        <w:jc w:val="center"/>
        <w:rPr>
          <w:b/>
          <w:szCs w:val="22"/>
        </w:rPr>
      </w:pPr>
    </w:p>
    <w:p w:rsidR="003B755C" w:rsidRPr="00657D69" w:rsidRDefault="003B755C" w:rsidP="001652CC">
      <w:pPr>
        <w:pStyle w:val="BodyText2"/>
        <w:tabs>
          <w:tab w:val="left" w:pos="180"/>
        </w:tabs>
        <w:spacing w:line="240" w:lineRule="auto"/>
        <w:ind w:left="180" w:right="153"/>
        <w:jc w:val="center"/>
        <w:rPr>
          <w:b/>
          <w:szCs w:val="22"/>
        </w:rPr>
      </w:pPr>
      <w:r w:rsidRPr="00657D69">
        <w:rPr>
          <w:b/>
          <w:szCs w:val="22"/>
        </w:rPr>
        <w:t>IEPIRKUMU KOMISIJAS SĒDES</w:t>
      </w:r>
    </w:p>
    <w:p w:rsidR="003B755C" w:rsidRPr="00657D69" w:rsidRDefault="003B755C" w:rsidP="00E41453">
      <w:pPr>
        <w:spacing w:before="60" w:after="60"/>
        <w:ind w:right="-213"/>
        <w:jc w:val="center"/>
        <w:rPr>
          <w:b/>
          <w:spacing w:val="20"/>
          <w:sz w:val="22"/>
          <w:szCs w:val="22"/>
        </w:rPr>
      </w:pPr>
      <w:smartTag w:uri="schemas-tilde-lv/tildestengine" w:element="veidnes">
        <w:smartTagPr>
          <w:attr w:name="text" w:val="PROTOKOLS"/>
          <w:attr w:name="baseform" w:val="PROTOKOLS"/>
          <w:attr w:name="id" w:val="-1"/>
        </w:smartTagPr>
        <w:r w:rsidRPr="00657D69">
          <w:rPr>
            <w:b/>
            <w:spacing w:val="20"/>
            <w:sz w:val="22"/>
            <w:szCs w:val="22"/>
          </w:rPr>
          <w:t>PROTOKOLS</w:t>
        </w:r>
      </w:smartTag>
      <w:r w:rsidRPr="00657D69">
        <w:rPr>
          <w:b/>
          <w:spacing w:val="20"/>
          <w:sz w:val="22"/>
          <w:szCs w:val="22"/>
        </w:rPr>
        <w:t xml:space="preserve"> Nr.1</w:t>
      </w:r>
    </w:p>
    <w:p w:rsidR="003B755C" w:rsidRPr="00657D69" w:rsidRDefault="003B755C" w:rsidP="00E41453">
      <w:pPr>
        <w:spacing w:before="60" w:after="60"/>
        <w:ind w:right="-213"/>
        <w:jc w:val="center"/>
        <w:rPr>
          <w:b/>
          <w:spacing w:val="20"/>
          <w:sz w:val="22"/>
          <w:szCs w:val="22"/>
        </w:rPr>
      </w:pPr>
    </w:p>
    <w:p w:rsidR="003B755C" w:rsidRPr="00191355" w:rsidRDefault="003B755C" w:rsidP="007D7828">
      <w:pPr>
        <w:tabs>
          <w:tab w:val="right" w:pos="9000"/>
        </w:tabs>
        <w:ind w:right="-33"/>
        <w:jc w:val="both"/>
        <w:rPr>
          <w:sz w:val="22"/>
          <w:szCs w:val="22"/>
        </w:rPr>
      </w:pPr>
      <w:r w:rsidRPr="00191355">
        <w:rPr>
          <w:sz w:val="22"/>
          <w:szCs w:val="22"/>
        </w:rPr>
        <w:t xml:space="preserve">Jūrmalā, </w:t>
      </w:r>
      <w:r w:rsidR="00543F3C">
        <w:rPr>
          <w:sz w:val="22"/>
          <w:szCs w:val="22"/>
        </w:rPr>
        <w:t>Promenādes  ielā 1a</w:t>
      </w:r>
      <w:r w:rsidR="00543F3C">
        <w:rPr>
          <w:sz w:val="22"/>
          <w:szCs w:val="22"/>
        </w:rPr>
        <w:tab/>
        <w:t>2014.gada 21.novembrī</w:t>
      </w:r>
    </w:p>
    <w:p w:rsidR="003B755C" w:rsidRPr="00191355" w:rsidRDefault="00543F3C" w:rsidP="007D7828">
      <w:pPr>
        <w:ind w:right="-213"/>
        <w:jc w:val="both"/>
        <w:rPr>
          <w:sz w:val="22"/>
          <w:szCs w:val="22"/>
        </w:rPr>
      </w:pPr>
      <w:r>
        <w:rPr>
          <w:sz w:val="22"/>
          <w:szCs w:val="22"/>
        </w:rPr>
        <w:t>Sēde atklāta plkst.10</w:t>
      </w:r>
      <w:r w:rsidR="003B755C" w:rsidRPr="00191355">
        <w:rPr>
          <w:sz w:val="22"/>
          <w:szCs w:val="22"/>
        </w:rPr>
        <w:t>:00</w:t>
      </w:r>
    </w:p>
    <w:p w:rsidR="003B755C" w:rsidRPr="00191355" w:rsidRDefault="003B755C" w:rsidP="007D7828">
      <w:pPr>
        <w:ind w:right="-213"/>
        <w:jc w:val="both"/>
        <w:rPr>
          <w:b/>
          <w:sz w:val="22"/>
          <w:szCs w:val="22"/>
          <w:u w:val="single"/>
        </w:rPr>
      </w:pPr>
    </w:p>
    <w:p w:rsidR="003B755C" w:rsidRPr="00191355" w:rsidRDefault="003B755C" w:rsidP="007D7828">
      <w:pPr>
        <w:ind w:right="-213"/>
        <w:jc w:val="both"/>
        <w:rPr>
          <w:b/>
          <w:sz w:val="22"/>
          <w:szCs w:val="22"/>
        </w:rPr>
      </w:pPr>
      <w:r w:rsidRPr="00191355">
        <w:rPr>
          <w:b/>
          <w:sz w:val="22"/>
          <w:szCs w:val="22"/>
          <w:u w:val="single"/>
        </w:rPr>
        <w:t>Piedalās:</w:t>
      </w:r>
    </w:p>
    <w:p w:rsidR="003B755C" w:rsidRPr="00191355" w:rsidRDefault="003B755C" w:rsidP="007D7828">
      <w:pPr>
        <w:ind w:right="-213"/>
        <w:jc w:val="both"/>
        <w:rPr>
          <w:sz w:val="22"/>
          <w:szCs w:val="22"/>
        </w:rPr>
      </w:pPr>
      <w:r w:rsidRPr="00191355">
        <w:rPr>
          <w:sz w:val="22"/>
          <w:szCs w:val="22"/>
        </w:rPr>
        <w:t>Komisijas locekļi:</w:t>
      </w:r>
    </w:p>
    <w:p w:rsidR="003B755C" w:rsidRPr="00191355" w:rsidRDefault="003B755C" w:rsidP="007D7828">
      <w:pPr>
        <w:ind w:right="-213"/>
        <w:jc w:val="both"/>
        <w:rPr>
          <w:sz w:val="22"/>
          <w:szCs w:val="22"/>
        </w:rPr>
      </w:pPr>
      <w:bookmarkStart w:id="0" w:name="OLE_LINK9"/>
      <w:bookmarkStart w:id="1" w:name="OLE_LINK10"/>
      <w:bookmarkStart w:id="2" w:name="OLE_LINK17"/>
      <w:bookmarkStart w:id="3" w:name="OLE_LINK18"/>
      <w:bookmarkStart w:id="4" w:name="OLE_LINK5"/>
      <w:bookmarkStart w:id="5" w:name="OLE_LINK6"/>
      <w:bookmarkStart w:id="6" w:name="OLE_LINK15"/>
      <w:r w:rsidRPr="00191355">
        <w:rPr>
          <w:sz w:val="22"/>
          <w:szCs w:val="22"/>
        </w:rPr>
        <w:t>P.Plinte, A.Kamarūts un L.Janberga.</w:t>
      </w:r>
    </w:p>
    <w:bookmarkEnd w:id="0"/>
    <w:bookmarkEnd w:id="1"/>
    <w:bookmarkEnd w:id="2"/>
    <w:bookmarkEnd w:id="3"/>
    <w:bookmarkEnd w:id="4"/>
    <w:bookmarkEnd w:id="5"/>
    <w:bookmarkEnd w:id="6"/>
    <w:p w:rsidR="003B755C" w:rsidRPr="00191355" w:rsidRDefault="003B755C" w:rsidP="007D7828">
      <w:pPr>
        <w:ind w:right="-213"/>
        <w:jc w:val="both"/>
        <w:rPr>
          <w:sz w:val="22"/>
          <w:szCs w:val="22"/>
        </w:rPr>
      </w:pPr>
      <w:r w:rsidRPr="00191355">
        <w:rPr>
          <w:b/>
          <w:sz w:val="22"/>
          <w:szCs w:val="22"/>
          <w:u w:val="single"/>
        </w:rPr>
        <w:t>Sēdi vada</w:t>
      </w:r>
      <w:r w:rsidRPr="00191355">
        <w:rPr>
          <w:b/>
          <w:sz w:val="22"/>
          <w:szCs w:val="22"/>
        </w:rPr>
        <w:t xml:space="preserve"> - </w:t>
      </w:r>
      <w:r w:rsidRPr="00191355">
        <w:rPr>
          <w:sz w:val="22"/>
          <w:szCs w:val="22"/>
        </w:rPr>
        <w:t>komisijas priekšsēdētājs P.Plinte.</w:t>
      </w:r>
    </w:p>
    <w:p w:rsidR="003B755C" w:rsidRPr="00191355" w:rsidRDefault="003B755C" w:rsidP="007D7828">
      <w:pPr>
        <w:ind w:right="-213"/>
        <w:jc w:val="both"/>
        <w:rPr>
          <w:b/>
          <w:sz w:val="22"/>
          <w:szCs w:val="22"/>
          <w:u w:val="single"/>
        </w:rPr>
      </w:pPr>
      <w:r w:rsidRPr="00191355">
        <w:rPr>
          <w:b/>
          <w:bCs/>
          <w:sz w:val="22"/>
          <w:szCs w:val="22"/>
          <w:u w:val="single"/>
        </w:rPr>
        <w:t>Protokolē</w:t>
      </w:r>
      <w:r w:rsidRPr="00191355">
        <w:rPr>
          <w:b/>
          <w:bCs/>
          <w:sz w:val="22"/>
          <w:szCs w:val="22"/>
        </w:rPr>
        <w:t xml:space="preserve"> –</w:t>
      </w:r>
      <w:r w:rsidRPr="00191355">
        <w:rPr>
          <w:sz w:val="22"/>
          <w:szCs w:val="22"/>
        </w:rPr>
        <w:t xml:space="preserve"> P.Plinte</w:t>
      </w:r>
    </w:p>
    <w:p w:rsidR="003B755C" w:rsidRPr="00191355" w:rsidRDefault="003B755C" w:rsidP="007D7828">
      <w:pPr>
        <w:ind w:right="-213"/>
        <w:jc w:val="both"/>
        <w:rPr>
          <w:b/>
          <w:sz w:val="22"/>
          <w:szCs w:val="22"/>
          <w:u w:val="single"/>
        </w:rPr>
      </w:pPr>
    </w:p>
    <w:p w:rsidR="003B755C" w:rsidRPr="00191355" w:rsidRDefault="003B755C" w:rsidP="007D7828">
      <w:pPr>
        <w:ind w:right="-213"/>
        <w:jc w:val="both"/>
        <w:rPr>
          <w:b/>
          <w:sz w:val="22"/>
          <w:szCs w:val="22"/>
        </w:rPr>
      </w:pPr>
      <w:r w:rsidRPr="00191355">
        <w:rPr>
          <w:b/>
          <w:sz w:val="22"/>
          <w:szCs w:val="22"/>
          <w:u w:val="single"/>
        </w:rPr>
        <w:t>Darba kārtība</w:t>
      </w:r>
      <w:r w:rsidRPr="00191355">
        <w:rPr>
          <w:b/>
          <w:sz w:val="22"/>
          <w:szCs w:val="22"/>
        </w:rPr>
        <w:t>:</w:t>
      </w:r>
    </w:p>
    <w:p w:rsidR="003B755C" w:rsidRPr="00191355" w:rsidRDefault="003B755C" w:rsidP="00952DF2">
      <w:pPr>
        <w:numPr>
          <w:ilvl w:val="0"/>
          <w:numId w:val="1"/>
        </w:numPr>
        <w:ind w:right="-335"/>
        <w:jc w:val="both"/>
        <w:rPr>
          <w:sz w:val="22"/>
          <w:szCs w:val="22"/>
        </w:rPr>
      </w:pPr>
      <w:r w:rsidRPr="00191355">
        <w:rPr>
          <w:sz w:val="22"/>
          <w:szCs w:val="22"/>
        </w:rPr>
        <w:t xml:space="preserve">Pretendentu iesniegto piedāvājumu organizētajā iepirkumā ar ID Nr. </w:t>
      </w:r>
      <w:r w:rsidR="00543F3C" w:rsidRPr="00543F3C">
        <w:rPr>
          <w:sz w:val="22"/>
          <w:szCs w:val="20"/>
        </w:rPr>
        <w:t>M-JU-06/2014</w:t>
      </w:r>
      <w:r w:rsidR="00543F3C" w:rsidRPr="00191355">
        <w:rPr>
          <w:sz w:val="22"/>
          <w:szCs w:val="22"/>
        </w:rPr>
        <w:t xml:space="preserve"> </w:t>
      </w:r>
      <w:r w:rsidRPr="00191355">
        <w:rPr>
          <w:sz w:val="22"/>
          <w:szCs w:val="22"/>
        </w:rPr>
        <w:t xml:space="preserve">„Par tiesībām veikt </w:t>
      </w:r>
      <w:r w:rsidR="00543F3C" w:rsidRPr="00543F3C">
        <w:t>meliorācijas novadgrāvja uzturēšanas darbus Zvejas ielā</w:t>
      </w:r>
      <w:r w:rsidRPr="00191355">
        <w:rPr>
          <w:sz w:val="22"/>
          <w:szCs w:val="22"/>
        </w:rPr>
        <w:t>, Jūrmalā saskaņā ar līguma noteikumiem” vērtēšana</w:t>
      </w:r>
      <w:r>
        <w:rPr>
          <w:sz w:val="22"/>
          <w:szCs w:val="22"/>
        </w:rPr>
        <w:t xml:space="preserve"> un l</w:t>
      </w:r>
      <w:r w:rsidRPr="00191355">
        <w:rPr>
          <w:sz w:val="22"/>
          <w:szCs w:val="22"/>
        </w:rPr>
        <w:t>ēmuma pieņemšana izsludinātās iepirkuma procedūras ietvaros.</w:t>
      </w:r>
      <w:bookmarkStart w:id="7" w:name="OLE_LINK1"/>
      <w:bookmarkStart w:id="8" w:name="OLE_LINK2"/>
    </w:p>
    <w:p w:rsidR="003B755C" w:rsidRPr="00191355" w:rsidRDefault="003B755C" w:rsidP="002B41AA">
      <w:pPr>
        <w:ind w:left="180" w:right="-335"/>
        <w:jc w:val="both"/>
        <w:rPr>
          <w:sz w:val="22"/>
          <w:szCs w:val="22"/>
        </w:rPr>
      </w:pPr>
    </w:p>
    <w:p w:rsidR="003B755C" w:rsidRPr="00191355" w:rsidRDefault="003B755C" w:rsidP="002B41AA">
      <w:pPr>
        <w:ind w:left="180" w:right="-335"/>
        <w:jc w:val="both"/>
        <w:rPr>
          <w:b/>
          <w:sz w:val="22"/>
          <w:szCs w:val="22"/>
        </w:rPr>
      </w:pPr>
      <w:r w:rsidRPr="00191355">
        <w:rPr>
          <w:b/>
          <w:sz w:val="22"/>
          <w:szCs w:val="22"/>
        </w:rPr>
        <w:t>1. Pretendentu iesniegto piedāvājumu organizētajā iepirkumā ar ID Nr</w:t>
      </w:r>
      <w:r w:rsidR="00543F3C" w:rsidRPr="00543F3C">
        <w:rPr>
          <w:b/>
          <w:sz w:val="22"/>
          <w:szCs w:val="20"/>
        </w:rPr>
        <w:t xml:space="preserve"> </w:t>
      </w:r>
      <w:r w:rsidR="00543F3C" w:rsidRPr="008B1E3C">
        <w:rPr>
          <w:b/>
          <w:sz w:val="22"/>
          <w:szCs w:val="20"/>
        </w:rPr>
        <w:t>M-JU-06/2014</w:t>
      </w:r>
      <w:r w:rsidRPr="00191355">
        <w:rPr>
          <w:b/>
          <w:sz w:val="22"/>
          <w:szCs w:val="22"/>
        </w:rPr>
        <w:t xml:space="preserve"> „</w:t>
      </w:r>
      <w:r w:rsidRPr="00191355">
        <w:rPr>
          <w:b/>
          <w:bCs/>
        </w:rPr>
        <w:t xml:space="preserve">Par tiesībām  </w:t>
      </w:r>
      <w:r w:rsidR="00543F3C" w:rsidRPr="00E21F29">
        <w:rPr>
          <w:b/>
          <w:bCs/>
        </w:rPr>
        <w:t>veikt</w:t>
      </w:r>
      <w:r w:rsidR="00543F3C">
        <w:rPr>
          <w:b/>
          <w:bCs/>
        </w:rPr>
        <w:t xml:space="preserve"> </w:t>
      </w:r>
      <w:r w:rsidR="00543F3C" w:rsidRPr="008B1E3C">
        <w:rPr>
          <w:b/>
        </w:rPr>
        <w:t>meliorācijas novadgrāvja uzturēšanas darbus Zvejas ielā</w:t>
      </w:r>
      <w:r w:rsidRPr="00191355">
        <w:rPr>
          <w:b/>
          <w:bCs/>
        </w:rPr>
        <w:t>, Jūrmalā saskaņā ar līguma noteikumiem</w:t>
      </w:r>
      <w:r w:rsidRPr="00191355">
        <w:rPr>
          <w:b/>
          <w:sz w:val="22"/>
          <w:szCs w:val="22"/>
        </w:rPr>
        <w:t xml:space="preserve">” vērtēšana un lēmuma pieņemšana izsludinātās iepirkuma procedūras ietvaros.  </w:t>
      </w:r>
    </w:p>
    <w:p w:rsidR="003B755C" w:rsidRPr="00191355" w:rsidRDefault="003B755C" w:rsidP="007D7828">
      <w:pPr>
        <w:ind w:right="-335"/>
        <w:jc w:val="both"/>
        <w:rPr>
          <w:sz w:val="22"/>
          <w:szCs w:val="22"/>
        </w:rPr>
      </w:pPr>
    </w:p>
    <w:p w:rsidR="003B755C" w:rsidRPr="00191355" w:rsidRDefault="003B755C" w:rsidP="007D7828">
      <w:pPr>
        <w:ind w:right="-335"/>
        <w:jc w:val="both"/>
        <w:rPr>
          <w:sz w:val="22"/>
          <w:szCs w:val="22"/>
        </w:rPr>
      </w:pPr>
      <w:r w:rsidRPr="00191355">
        <w:rPr>
          <w:sz w:val="22"/>
          <w:szCs w:val="22"/>
        </w:rPr>
        <w:t>Piedāvājumu vērtēšanas procedūru vada komisijas priekšsēdētājs P.Plinte.</w:t>
      </w:r>
    </w:p>
    <w:p w:rsidR="003B755C" w:rsidRPr="00191355" w:rsidRDefault="003B755C" w:rsidP="00D425D2">
      <w:pPr>
        <w:tabs>
          <w:tab w:val="right" w:pos="9000"/>
        </w:tabs>
        <w:ind w:right="-33"/>
        <w:jc w:val="both"/>
        <w:rPr>
          <w:sz w:val="22"/>
          <w:szCs w:val="22"/>
        </w:rPr>
      </w:pPr>
      <w:r w:rsidRPr="00191355">
        <w:rPr>
          <w:sz w:val="22"/>
          <w:szCs w:val="22"/>
        </w:rPr>
        <w:t>Tiek nolasīts komisijas sastāvs un sniegta informācija par pretendentiem, kas iesnieguši piedāvājumus un piedalījušies piedāvājumu atvēršanā, kas notika Jūrmalā, Promenādes ielā 1a 16.kabin</w:t>
      </w:r>
      <w:r w:rsidR="00543F3C">
        <w:rPr>
          <w:sz w:val="22"/>
          <w:szCs w:val="22"/>
        </w:rPr>
        <w:t>etā 2014.gada 10</w:t>
      </w:r>
      <w:r w:rsidRPr="00191355">
        <w:rPr>
          <w:sz w:val="22"/>
          <w:szCs w:val="22"/>
        </w:rPr>
        <w:t>.</w:t>
      </w:r>
      <w:r w:rsidR="00543F3C">
        <w:rPr>
          <w:sz w:val="22"/>
          <w:szCs w:val="22"/>
        </w:rPr>
        <w:t>novembrī</w:t>
      </w:r>
      <w:r w:rsidRPr="00191355">
        <w:rPr>
          <w:sz w:val="22"/>
          <w:szCs w:val="22"/>
        </w:rPr>
        <w:t xml:space="preserve"> plkst. 9:00. </w:t>
      </w:r>
    </w:p>
    <w:p w:rsidR="003B755C" w:rsidRPr="00191355" w:rsidRDefault="003B755C" w:rsidP="007D7828">
      <w:pPr>
        <w:tabs>
          <w:tab w:val="left" w:pos="5670"/>
          <w:tab w:val="left" w:pos="7371"/>
        </w:tabs>
        <w:ind w:right="-289"/>
        <w:jc w:val="both"/>
        <w:rPr>
          <w:sz w:val="22"/>
          <w:szCs w:val="22"/>
        </w:rPr>
      </w:pPr>
    </w:p>
    <w:p w:rsidR="003B755C" w:rsidRPr="00191355" w:rsidRDefault="003B755C" w:rsidP="007D7828">
      <w:pPr>
        <w:tabs>
          <w:tab w:val="left" w:pos="5670"/>
          <w:tab w:val="left" w:pos="7371"/>
        </w:tabs>
        <w:ind w:right="-289"/>
        <w:jc w:val="both"/>
        <w:rPr>
          <w:sz w:val="22"/>
          <w:szCs w:val="22"/>
        </w:rPr>
      </w:pPr>
      <w:r w:rsidRPr="00191355">
        <w:rPr>
          <w:sz w:val="22"/>
          <w:szCs w:val="22"/>
        </w:rPr>
        <w:t xml:space="preserve">Komisijas priekšsēdētājs informē, ka piedāvājumu atvēršanas sapulces gaita netika protokolēta, jo Publisko iepirkumu likums attiecīgās iepirkuma procedūras ietvaros šāda dokumenta sagatavošanu minētajā procesā nepieprasa. Piedāvājumu atvēršanā piedāvājumus iesniegušie pretendenti piedalījās. Pēc piedāvājumu atvēršanas un finanšu piedāvājumu nolasīšanas katrs iepirkuma komisijas loceklis parakstīja apliecinājumu, ka neatrodas interešu konfliktā un nav ietekmēts </w:t>
      </w:r>
      <w:r w:rsidRPr="00191355">
        <w:rPr>
          <w:i/>
          <w:sz w:val="22"/>
          <w:szCs w:val="22"/>
        </w:rPr>
        <w:t>(1.pielikums)</w:t>
      </w:r>
      <w:r w:rsidRPr="00191355">
        <w:rPr>
          <w:sz w:val="22"/>
          <w:szCs w:val="22"/>
        </w:rPr>
        <w:t>, kas tiek pievienoti sēdes protokolam.</w:t>
      </w:r>
    </w:p>
    <w:p w:rsidR="003B755C" w:rsidRPr="00191355" w:rsidRDefault="003B755C" w:rsidP="007D7828">
      <w:pPr>
        <w:tabs>
          <w:tab w:val="left" w:pos="5670"/>
          <w:tab w:val="left" w:pos="7371"/>
        </w:tabs>
        <w:ind w:right="-289"/>
        <w:jc w:val="both"/>
        <w:rPr>
          <w:sz w:val="22"/>
          <w:szCs w:val="22"/>
        </w:rPr>
      </w:pPr>
    </w:p>
    <w:p w:rsidR="003B755C" w:rsidRPr="00191355" w:rsidRDefault="003B755C" w:rsidP="007D7828">
      <w:pPr>
        <w:tabs>
          <w:tab w:val="left" w:pos="5670"/>
          <w:tab w:val="left" w:pos="7371"/>
        </w:tabs>
        <w:ind w:right="-289"/>
        <w:jc w:val="both"/>
        <w:rPr>
          <w:sz w:val="22"/>
          <w:szCs w:val="22"/>
        </w:rPr>
      </w:pPr>
      <w:r w:rsidRPr="00191355">
        <w:rPr>
          <w:sz w:val="22"/>
          <w:szCs w:val="22"/>
        </w:rPr>
        <w:t>Komisijas priekšsēdētājs ziņo:</w:t>
      </w:r>
    </w:p>
    <w:p w:rsidR="003B755C" w:rsidRDefault="003B755C" w:rsidP="007D7828">
      <w:pPr>
        <w:numPr>
          <w:ilvl w:val="12"/>
          <w:numId w:val="0"/>
        </w:numPr>
        <w:ind w:right="71"/>
        <w:jc w:val="both"/>
        <w:rPr>
          <w:sz w:val="22"/>
          <w:szCs w:val="22"/>
        </w:rPr>
      </w:pPr>
      <w:r w:rsidRPr="00191355">
        <w:rPr>
          <w:sz w:val="22"/>
          <w:szCs w:val="22"/>
        </w:rPr>
        <w:t xml:space="preserve">Piedāvājumus iepirkumam ir iesnieguši </w:t>
      </w:r>
      <w:r w:rsidR="00543F3C">
        <w:rPr>
          <w:sz w:val="22"/>
          <w:szCs w:val="22"/>
        </w:rPr>
        <w:t>trīs</w:t>
      </w:r>
      <w:r w:rsidRPr="00191355">
        <w:rPr>
          <w:sz w:val="22"/>
          <w:szCs w:val="22"/>
        </w:rPr>
        <w:t xml:space="preserve"> pretendenti – </w:t>
      </w:r>
    </w:p>
    <w:p w:rsidR="003B755C" w:rsidRDefault="003B755C" w:rsidP="00B21465">
      <w:pPr>
        <w:numPr>
          <w:ilvl w:val="0"/>
          <w:numId w:val="6"/>
        </w:numPr>
        <w:ind w:right="71"/>
        <w:jc w:val="both"/>
        <w:rPr>
          <w:sz w:val="22"/>
          <w:szCs w:val="22"/>
        </w:rPr>
      </w:pPr>
      <w:r w:rsidRPr="00191355">
        <w:rPr>
          <w:sz w:val="22"/>
          <w:szCs w:val="22"/>
        </w:rPr>
        <w:t>SIA „</w:t>
      </w:r>
      <w:r w:rsidR="00543F3C">
        <w:rPr>
          <w:sz w:val="22"/>
          <w:szCs w:val="22"/>
        </w:rPr>
        <w:t>ME” 2014.gada 10</w:t>
      </w:r>
      <w:r w:rsidRPr="00191355">
        <w:rPr>
          <w:sz w:val="22"/>
          <w:szCs w:val="22"/>
        </w:rPr>
        <w:t>.</w:t>
      </w:r>
      <w:r w:rsidR="00543F3C">
        <w:rPr>
          <w:sz w:val="22"/>
          <w:szCs w:val="22"/>
        </w:rPr>
        <w:t>novembrī</w:t>
      </w:r>
      <w:r>
        <w:rPr>
          <w:sz w:val="22"/>
          <w:szCs w:val="22"/>
        </w:rPr>
        <w:t>;</w:t>
      </w:r>
    </w:p>
    <w:p w:rsidR="003B755C" w:rsidRDefault="003B755C" w:rsidP="00B21465">
      <w:pPr>
        <w:numPr>
          <w:ilvl w:val="0"/>
          <w:numId w:val="6"/>
        </w:numPr>
        <w:ind w:right="71"/>
        <w:jc w:val="both"/>
        <w:rPr>
          <w:sz w:val="22"/>
          <w:szCs w:val="22"/>
        </w:rPr>
      </w:pPr>
      <w:r w:rsidRPr="00191355">
        <w:rPr>
          <w:sz w:val="22"/>
          <w:szCs w:val="22"/>
        </w:rPr>
        <w:t>SIA „</w:t>
      </w:r>
      <w:r w:rsidR="00543F3C" w:rsidRPr="00191355">
        <w:rPr>
          <w:sz w:val="22"/>
          <w:szCs w:val="22"/>
        </w:rPr>
        <w:t>SALI BŪVTRANS</w:t>
      </w:r>
      <w:r w:rsidR="00543F3C">
        <w:rPr>
          <w:sz w:val="22"/>
          <w:szCs w:val="22"/>
        </w:rPr>
        <w:t>” 2014.gada 6</w:t>
      </w:r>
      <w:r w:rsidRPr="00191355">
        <w:rPr>
          <w:sz w:val="22"/>
          <w:szCs w:val="22"/>
        </w:rPr>
        <w:t>.</w:t>
      </w:r>
      <w:r w:rsidR="00543F3C">
        <w:rPr>
          <w:sz w:val="22"/>
          <w:szCs w:val="22"/>
        </w:rPr>
        <w:t>novembrī</w:t>
      </w:r>
      <w:r w:rsidRPr="00191355">
        <w:rPr>
          <w:sz w:val="22"/>
          <w:szCs w:val="22"/>
        </w:rPr>
        <w:t xml:space="preserve">, </w:t>
      </w:r>
    </w:p>
    <w:p w:rsidR="003B755C" w:rsidRDefault="00543F3C" w:rsidP="00B21465">
      <w:pPr>
        <w:numPr>
          <w:ilvl w:val="0"/>
          <w:numId w:val="6"/>
        </w:numPr>
        <w:ind w:right="71"/>
        <w:jc w:val="both"/>
        <w:rPr>
          <w:sz w:val="22"/>
          <w:szCs w:val="22"/>
        </w:rPr>
      </w:pPr>
      <w:r w:rsidRPr="00543F3C">
        <w:rPr>
          <w:szCs w:val="22"/>
        </w:rPr>
        <w:t>SIA „</w:t>
      </w:r>
      <w:r>
        <w:rPr>
          <w:szCs w:val="22"/>
        </w:rPr>
        <w:t>RIGA RENT</w:t>
      </w:r>
      <w:r w:rsidRPr="00543F3C">
        <w:rPr>
          <w:szCs w:val="22"/>
        </w:rPr>
        <w:t>” PA „H</w:t>
      </w:r>
      <w:r>
        <w:rPr>
          <w:szCs w:val="22"/>
        </w:rPr>
        <w:t>IDROCOM</w:t>
      </w:r>
      <w:r w:rsidRPr="00543F3C">
        <w:rPr>
          <w:szCs w:val="22"/>
        </w:rPr>
        <w:t xml:space="preserve"> RR”</w:t>
      </w:r>
      <w:r w:rsidR="003B755C" w:rsidRPr="00191355">
        <w:rPr>
          <w:sz w:val="22"/>
          <w:szCs w:val="22"/>
        </w:rPr>
        <w:t xml:space="preserve">2014.gada </w:t>
      </w:r>
      <w:r>
        <w:rPr>
          <w:sz w:val="22"/>
          <w:szCs w:val="22"/>
        </w:rPr>
        <w:t>10</w:t>
      </w:r>
      <w:r w:rsidRPr="00191355">
        <w:rPr>
          <w:sz w:val="22"/>
          <w:szCs w:val="22"/>
        </w:rPr>
        <w:t>.</w:t>
      </w:r>
      <w:r>
        <w:rPr>
          <w:sz w:val="22"/>
          <w:szCs w:val="22"/>
        </w:rPr>
        <w:t>novembrī</w:t>
      </w:r>
      <w:r w:rsidR="003B755C" w:rsidRPr="00191355">
        <w:rPr>
          <w:sz w:val="22"/>
          <w:szCs w:val="22"/>
        </w:rPr>
        <w:t xml:space="preserve">, </w:t>
      </w:r>
    </w:p>
    <w:p w:rsidR="003B755C" w:rsidRPr="00657D69" w:rsidRDefault="003B755C" w:rsidP="00B21465">
      <w:pPr>
        <w:ind w:left="360" w:right="71"/>
        <w:jc w:val="both"/>
        <w:rPr>
          <w:sz w:val="22"/>
          <w:szCs w:val="22"/>
        </w:rPr>
      </w:pPr>
      <w:r>
        <w:rPr>
          <w:sz w:val="22"/>
          <w:szCs w:val="22"/>
        </w:rPr>
        <w:t>Par pretendentu piedāvājumu iesniegšanas faktu</w:t>
      </w:r>
      <w:r w:rsidRPr="00191355">
        <w:rPr>
          <w:sz w:val="22"/>
          <w:szCs w:val="22"/>
        </w:rPr>
        <w:t xml:space="preserve"> tika veikta</w:t>
      </w:r>
      <w:r>
        <w:rPr>
          <w:sz w:val="22"/>
          <w:szCs w:val="22"/>
        </w:rPr>
        <w:t xml:space="preserve"> atzīme uz pretendenta iesniegtās piedāvājuma aploksnes, kā arī ierīkota atsevišķa pretendentu reģistrācijas lapa, kurā katrs piedāvājumu iesniegušais pretendents parakstījās par piedāvājuma iesniegšanas faktu </w:t>
      </w:r>
      <w:r w:rsidRPr="0053144A">
        <w:rPr>
          <w:i/>
          <w:sz w:val="22"/>
          <w:szCs w:val="22"/>
        </w:rPr>
        <w:t>(2.pielikums)</w:t>
      </w:r>
      <w:r>
        <w:rPr>
          <w:sz w:val="22"/>
          <w:szCs w:val="22"/>
        </w:rPr>
        <w:t xml:space="preserve">. </w:t>
      </w:r>
      <w:r w:rsidRPr="00657D69">
        <w:rPr>
          <w:sz w:val="22"/>
          <w:szCs w:val="22"/>
        </w:rPr>
        <w:t xml:space="preserve"> </w:t>
      </w:r>
    </w:p>
    <w:p w:rsidR="003B755C" w:rsidRPr="00657D69"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Pr="00657D69" w:rsidRDefault="003B755C" w:rsidP="007D7828">
      <w:pPr>
        <w:pStyle w:val="BodyText2"/>
        <w:numPr>
          <w:ilvl w:val="12"/>
          <w:numId w:val="0"/>
        </w:numPr>
        <w:spacing w:line="240" w:lineRule="auto"/>
        <w:ind w:right="-393"/>
        <w:rPr>
          <w:szCs w:val="22"/>
        </w:rPr>
      </w:pPr>
      <w:r>
        <w:rPr>
          <w:szCs w:val="22"/>
        </w:rPr>
        <w:t>Pretendentu finanšu piedāvājumi</w:t>
      </w:r>
      <w:r w:rsidRPr="00657D69">
        <w:rPr>
          <w:szCs w:val="22"/>
        </w:rPr>
        <w:t>:</w:t>
      </w:r>
      <w:r>
        <w:rPr>
          <w:szCs w:val="22"/>
        </w:rPr>
        <w:t xml:space="preserve">     </w:t>
      </w:r>
    </w:p>
    <w:p w:rsidR="003B755C" w:rsidRPr="00657D69" w:rsidRDefault="003B755C" w:rsidP="007D7828">
      <w:pPr>
        <w:pStyle w:val="BodyText2"/>
        <w:numPr>
          <w:ilvl w:val="12"/>
          <w:numId w:val="0"/>
        </w:numPr>
        <w:spacing w:line="240" w:lineRule="auto"/>
        <w:ind w:right="-393"/>
        <w:rPr>
          <w:szCs w:val="22"/>
        </w:rPr>
      </w:pPr>
    </w:p>
    <w:tbl>
      <w:tblPr>
        <w:tblW w:w="8228" w:type="dxa"/>
        <w:jc w:val="center"/>
        <w:tblInd w:w="-2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34"/>
        <w:gridCol w:w="2674"/>
      </w:tblGrid>
      <w:tr w:rsidR="003B755C" w:rsidRPr="00683A00" w:rsidTr="00683A00">
        <w:trPr>
          <w:trHeight w:val="501"/>
          <w:jc w:val="center"/>
        </w:trPr>
        <w:tc>
          <w:tcPr>
            <w:tcW w:w="1620" w:type="dxa"/>
            <w:vAlign w:val="center"/>
          </w:tcPr>
          <w:p w:rsidR="003B755C" w:rsidRPr="00191355" w:rsidRDefault="003B755C" w:rsidP="00683A00">
            <w:pPr>
              <w:overflowPunct w:val="0"/>
              <w:autoSpaceDE w:val="0"/>
              <w:autoSpaceDN w:val="0"/>
              <w:adjustRightInd w:val="0"/>
              <w:ind w:left="-52" w:right="-288"/>
              <w:jc w:val="center"/>
              <w:textAlignment w:val="baseline"/>
              <w:rPr>
                <w:b/>
              </w:rPr>
            </w:pPr>
            <w:r w:rsidRPr="00191355">
              <w:rPr>
                <w:b/>
                <w:sz w:val="22"/>
                <w:szCs w:val="22"/>
              </w:rPr>
              <w:t>Nr.</w:t>
            </w:r>
          </w:p>
        </w:tc>
        <w:tc>
          <w:tcPr>
            <w:tcW w:w="3934" w:type="dxa"/>
            <w:vAlign w:val="center"/>
          </w:tcPr>
          <w:p w:rsidR="003B755C" w:rsidRPr="00191355" w:rsidRDefault="003B755C" w:rsidP="00683A00">
            <w:pPr>
              <w:overflowPunct w:val="0"/>
              <w:autoSpaceDE w:val="0"/>
              <w:autoSpaceDN w:val="0"/>
              <w:adjustRightInd w:val="0"/>
              <w:ind w:right="-108"/>
              <w:jc w:val="center"/>
              <w:textAlignment w:val="baseline"/>
              <w:rPr>
                <w:b/>
              </w:rPr>
            </w:pPr>
            <w:r w:rsidRPr="00191355">
              <w:rPr>
                <w:b/>
                <w:bCs/>
                <w:sz w:val="22"/>
                <w:szCs w:val="22"/>
              </w:rPr>
              <w:t>Pretendenta nosaukums</w:t>
            </w:r>
          </w:p>
        </w:tc>
        <w:tc>
          <w:tcPr>
            <w:tcW w:w="2674" w:type="dxa"/>
          </w:tcPr>
          <w:p w:rsidR="003B755C" w:rsidRPr="00191355" w:rsidRDefault="003B755C" w:rsidP="00683A00">
            <w:pPr>
              <w:overflowPunct w:val="0"/>
              <w:autoSpaceDE w:val="0"/>
              <w:autoSpaceDN w:val="0"/>
              <w:adjustRightInd w:val="0"/>
              <w:ind w:left="-108" w:right="-108"/>
              <w:jc w:val="center"/>
              <w:textAlignment w:val="baseline"/>
              <w:rPr>
                <w:b/>
              </w:rPr>
            </w:pPr>
            <w:r w:rsidRPr="00191355">
              <w:rPr>
                <w:b/>
                <w:sz w:val="22"/>
                <w:szCs w:val="22"/>
              </w:rPr>
              <w:t xml:space="preserve">Pretendenta piedāvātā kopējā līgumcena </w:t>
            </w:r>
          </w:p>
          <w:p w:rsidR="003B755C" w:rsidRPr="00191355" w:rsidRDefault="003B755C" w:rsidP="00683A00">
            <w:pPr>
              <w:overflowPunct w:val="0"/>
              <w:autoSpaceDE w:val="0"/>
              <w:autoSpaceDN w:val="0"/>
              <w:adjustRightInd w:val="0"/>
              <w:ind w:left="-108" w:right="-108"/>
              <w:jc w:val="center"/>
              <w:textAlignment w:val="baseline"/>
              <w:rPr>
                <w:b/>
              </w:rPr>
            </w:pPr>
            <w:r w:rsidRPr="00191355">
              <w:rPr>
                <w:b/>
                <w:sz w:val="22"/>
                <w:szCs w:val="22"/>
              </w:rPr>
              <w:t xml:space="preserve"> (bez PVN)</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1</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w:t>
            </w:r>
            <w:r w:rsidR="00543F3C" w:rsidRPr="00191355">
              <w:rPr>
                <w:sz w:val="22"/>
                <w:szCs w:val="22"/>
              </w:rPr>
              <w:t>ME</w:t>
            </w:r>
            <w:r w:rsidRPr="00191355">
              <w:rPr>
                <w:sz w:val="22"/>
                <w:szCs w:val="22"/>
              </w:rPr>
              <w:t>”</w:t>
            </w:r>
          </w:p>
        </w:tc>
        <w:tc>
          <w:tcPr>
            <w:tcW w:w="2674" w:type="dxa"/>
            <w:vAlign w:val="center"/>
          </w:tcPr>
          <w:p w:rsidR="003B755C" w:rsidRPr="00191355" w:rsidRDefault="005B3A62" w:rsidP="005B3A62">
            <w:pPr>
              <w:overflowPunct w:val="0"/>
              <w:autoSpaceDE w:val="0"/>
              <w:autoSpaceDN w:val="0"/>
              <w:adjustRightInd w:val="0"/>
              <w:ind w:left="-108" w:right="-108"/>
              <w:jc w:val="center"/>
              <w:textAlignment w:val="baseline"/>
            </w:pPr>
            <w:r>
              <w:rPr>
                <w:szCs w:val="22"/>
              </w:rPr>
              <w:t>3 614.97</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2</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w:t>
            </w:r>
            <w:r w:rsidR="00543F3C" w:rsidRPr="00191355">
              <w:rPr>
                <w:sz w:val="22"/>
                <w:szCs w:val="22"/>
              </w:rPr>
              <w:t>SALI BŪVTRANS</w:t>
            </w:r>
            <w:r w:rsidRPr="00191355">
              <w:rPr>
                <w:sz w:val="22"/>
                <w:szCs w:val="22"/>
              </w:rPr>
              <w:t>”</w:t>
            </w:r>
          </w:p>
        </w:tc>
        <w:tc>
          <w:tcPr>
            <w:tcW w:w="2674" w:type="dxa"/>
            <w:vAlign w:val="center"/>
          </w:tcPr>
          <w:p w:rsidR="003B755C" w:rsidRPr="00191355" w:rsidRDefault="00543F3C" w:rsidP="005B3A62">
            <w:pPr>
              <w:overflowPunct w:val="0"/>
              <w:autoSpaceDE w:val="0"/>
              <w:autoSpaceDN w:val="0"/>
              <w:adjustRightInd w:val="0"/>
              <w:ind w:left="-108" w:right="-108"/>
              <w:jc w:val="center"/>
              <w:textAlignment w:val="baseline"/>
              <w:rPr>
                <w:color w:val="FF0000"/>
              </w:rPr>
            </w:pPr>
            <w:r>
              <w:rPr>
                <w:szCs w:val="22"/>
              </w:rPr>
              <w:t>5 686.56</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3</w:t>
            </w:r>
          </w:p>
        </w:tc>
        <w:tc>
          <w:tcPr>
            <w:tcW w:w="3934" w:type="dxa"/>
            <w:vAlign w:val="center"/>
          </w:tcPr>
          <w:p w:rsidR="003B755C" w:rsidRPr="00543F3C" w:rsidRDefault="00543F3C" w:rsidP="00B30C6E">
            <w:pPr>
              <w:overflowPunct w:val="0"/>
              <w:autoSpaceDE w:val="0"/>
              <w:autoSpaceDN w:val="0"/>
              <w:adjustRightInd w:val="0"/>
              <w:jc w:val="center"/>
              <w:textAlignment w:val="baseline"/>
              <w:rPr>
                <w:sz w:val="22"/>
                <w:szCs w:val="22"/>
              </w:rPr>
            </w:pPr>
            <w:r w:rsidRPr="00543F3C">
              <w:rPr>
                <w:sz w:val="22"/>
                <w:szCs w:val="22"/>
              </w:rPr>
              <w:t>PA „HIDROCOM RR”</w:t>
            </w:r>
          </w:p>
        </w:tc>
        <w:tc>
          <w:tcPr>
            <w:tcW w:w="2674" w:type="dxa"/>
            <w:vAlign w:val="center"/>
          </w:tcPr>
          <w:p w:rsidR="003B755C" w:rsidRPr="00191355" w:rsidRDefault="005B3A62" w:rsidP="005B3A62">
            <w:pPr>
              <w:overflowPunct w:val="0"/>
              <w:autoSpaceDE w:val="0"/>
              <w:autoSpaceDN w:val="0"/>
              <w:adjustRightInd w:val="0"/>
              <w:ind w:left="-108" w:right="-108"/>
              <w:jc w:val="center"/>
              <w:textAlignment w:val="baseline"/>
              <w:rPr>
                <w:color w:val="000000"/>
              </w:rPr>
            </w:pPr>
            <w:r>
              <w:rPr>
                <w:szCs w:val="22"/>
              </w:rPr>
              <w:t>9 983.21</w:t>
            </w:r>
          </w:p>
        </w:tc>
      </w:tr>
    </w:tbl>
    <w:p w:rsidR="003B755C" w:rsidRPr="00657D69" w:rsidRDefault="003B755C" w:rsidP="007D7828">
      <w:pPr>
        <w:spacing w:before="120"/>
        <w:ind w:right="71"/>
        <w:jc w:val="both"/>
        <w:rPr>
          <w:sz w:val="22"/>
          <w:szCs w:val="22"/>
        </w:rPr>
      </w:pPr>
    </w:p>
    <w:p w:rsidR="003B755C" w:rsidRDefault="003B755C" w:rsidP="007D7828">
      <w:pPr>
        <w:ind w:right="74"/>
        <w:jc w:val="both"/>
        <w:rPr>
          <w:sz w:val="22"/>
          <w:szCs w:val="22"/>
        </w:rPr>
      </w:pPr>
      <w:r w:rsidRPr="00657D69">
        <w:rPr>
          <w:sz w:val="22"/>
          <w:szCs w:val="22"/>
        </w:rPr>
        <w:t>Komisijas priekšsēdētājs un komisijas locekļi uzsāk piedāvājum</w:t>
      </w:r>
      <w:r>
        <w:rPr>
          <w:sz w:val="22"/>
          <w:szCs w:val="22"/>
        </w:rPr>
        <w:t>u</w:t>
      </w:r>
      <w:r w:rsidRPr="00657D69">
        <w:rPr>
          <w:sz w:val="22"/>
          <w:szCs w:val="22"/>
        </w:rPr>
        <w:t xml:space="preserve"> </w:t>
      </w:r>
      <w:r>
        <w:rPr>
          <w:sz w:val="22"/>
          <w:szCs w:val="22"/>
        </w:rPr>
        <w:t>vērtēšanu, veicot piedāvājumu</w:t>
      </w:r>
      <w:r w:rsidRPr="00657D69">
        <w:rPr>
          <w:sz w:val="22"/>
          <w:szCs w:val="22"/>
        </w:rPr>
        <w:t xml:space="preserve"> atbilstības pārbaudi iepirkuma uzaicinājumā izvirzītajām prasībām</w:t>
      </w:r>
      <w:r>
        <w:rPr>
          <w:sz w:val="22"/>
          <w:szCs w:val="22"/>
        </w:rPr>
        <w:t xml:space="preserve"> (</w:t>
      </w:r>
      <w:r w:rsidRPr="0053144A">
        <w:rPr>
          <w:i/>
          <w:sz w:val="22"/>
          <w:szCs w:val="22"/>
        </w:rPr>
        <w:t>3.pielikums – iepirkumu komisijas locekļu individuālie vērtējumi)</w:t>
      </w:r>
      <w:r w:rsidRPr="00657D69">
        <w:rPr>
          <w:sz w:val="22"/>
          <w:szCs w:val="22"/>
        </w:rPr>
        <w:t xml:space="preserve">. </w:t>
      </w:r>
    </w:p>
    <w:p w:rsidR="003B755C" w:rsidRPr="00657D69" w:rsidRDefault="003B755C" w:rsidP="007D7828">
      <w:pPr>
        <w:ind w:right="71"/>
        <w:jc w:val="both"/>
        <w:rPr>
          <w:b/>
          <w:bCs/>
          <w:sz w:val="22"/>
          <w:szCs w:val="22"/>
          <w:u w:val="single"/>
        </w:rPr>
      </w:pPr>
    </w:p>
    <w:p w:rsidR="003B755C" w:rsidRPr="00094A81" w:rsidRDefault="003B755C" w:rsidP="001F4268">
      <w:pPr>
        <w:ind w:right="71"/>
        <w:jc w:val="both"/>
        <w:rPr>
          <w:b/>
          <w:bCs/>
          <w:sz w:val="22"/>
          <w:szCs w:val="22"/>
          <w:u w:val="single"/>
        </w:rPr>
      </w:pPr>
      <w:r w:rsidRPr="00094A81">
        <w:rPr>
          <w:bCs/>
          <w:sz w:val="22"/>
          <w:szCs w:val="22"/>
        </w:rPr>
        <w:t>Veicot pretendentu iesniegto piedāvājumu satura pārbaudi, un pretendentu atlases pārbaudi, saskaņā ar izvirzītajām prasībām iepirkuma procedūras dokumentācijā,</w:t>
      </w:r>
      <w:r>
        <w:rPr>
          <w:b/>
          <w:bCs/>
          <w:sz w:val="22"/>
          <w:szCs w:val="22"/>
          <w:u w:val="single"/>
        </w:rPr>
        <w:t xml:space="preserve"> </w:t>
      </w:r>
      <w:r w:rsidRPr="00657D69">
        <w:rPr>
          <w:b/>
          <w:bCs/>
          <w:sz w:val="22"/>
          <w:szCs w:val="22"/>
          <w:u w:val="single"/>
        </w:rPr>
        <w:t xml:space="preserve">Komisija </w:t>
      </w:r>
      <w:r>
        <w:rPr>
          <w:b/>
          <w:bCs/>
          <w:sz w:val="22"/>
          <w:szCs w:val="22"/>
          <w:u w:val="single"/>
        </w:rPr>
        <w:t xml:space="preserve">konstatē, ka </w:t>
      </w:r>
      <w:r w:rsidRPr="00094A81">
        <w:rPr>
          <w:b/>
          <w:bCs/>
          <w:sz w:val="22"/>
          <w:szCs w:val="22"/>
          <w:u w:val="single"/>
        </w:rPr>
        <w:t xml:space="preserve">pretendentu: </w:t>
      </w:r>
      <w:r w:rsidRPr="00094A81">
        <w:rPr>
          <w:b/>
          <w:sz w:val="22"/>
          <w:szCs w:val="22"/>
          <w:u w:val="single"/>
        </w:rPr>
        <w:t>SIA „ME”</w:t>
      </w:r>
      <w:r w:rsidR="007D300F">
        <w:rPr>
          <w:b/>
          <w:sz w:val="22"/>
          <w:szCs w:val="22"/>
          <w:u w:val="single"/>
        </w:rPr>
        <w:t xml:space="preserve"> un  </w:t>
      </w:r>
      <w:r w:rsidR="007D300F">
        <w:rPr>
          <w:b/>
          <w:bCs/>
          <w:sz w:val="22"/>
          <w:szCs w:val="22"/>
          <w:u w:val="single"/>
        </w:rPr>
        <w:t>PA„HIDROCOM RR”</w:t>
      </w:r>
      <w:r w:rsidRPr="00094A81">
        <w:rPr>
          <w:b/>
          <w:bCs/>
          <w:sz w:val="22"/>
          <w:szCs w:val="22"/>
          <w:u w:val="single"/>
        </w:rPr>
        <w:t>iesniegtie piedāvājumi neatbilst iepirkuma uzaicinājumā izvirzītajām prasībām.</w:t>
      </w:r>
    </w:p>
    <w:p w:rsidR="003B755C" w:rsidRPr="00094A81" w:rsidRDefault="003B755C" w:rsidP="001F4268">
      <w:pPr>
        <w:ind w:right="71"/>
        <w:jc w:val="both"/>
        <w:rPr>
          <w:bCs/>
          <w:sz w:val="22"/>
          <w:szCs w:val="22"/>
        </w:rPr>
      </w:pPr>
    </w:p>
    <w:p w:rsidR="003B755C" w:rsidRDefault="003B755C" w:rsidP="001F4268">
      <w:pPr>
        <w:ind w:right="71"/>
        <w:jc w:val="both"/>
        <w:rPr>
          <w:bCs/>
          <w:sz w:val="22"/>
          <w:szCs w:val="22"/>
        </w:rPr>
      </w:pPr>
      <w:r w:rsidRPr="00094A81">
        <w:rPr>
          <w:bCs/>
          <w:sz w:val="22"/>
          <w:szCs w:val="22"/>
        </w:rPr>
        <w:t xml:space="preserve">Ievērojot konstatēto </w:t>
      </w:r>
      <w:r w:rsidRPr="00094A81">
        <w:rPr>
          <w:b/>
          <w:bCs/>
          <w:sz w:val="22"/>
          <w:szCs w:val="22"/>
          <w:u w:val="single"/>
        </w:rPr>
        <w:t xml:space="preserve">Komisijas locekļi nolemj izslēgt pretendentus: </w:t>
      </w:r>
      <w:r w:rsidRPr="00094A81">
        <w:rPr>
          <w:b/>
          <w:sz w:val="22"/>
          <w:szCs w:val="22"/>
          <w:u w:val="single"/>
        </w:rPr>
        <w:t>SIA „ME”</w:t>
      </w:r>
      <w:r w:rsidRPr="00094A81">
        <w:rPr>
          <w:b/>
          <w:bCs/>
          <w:sz w:val="22"/>
          <w:szCs w:val="22"/>
          <w:u w:val="single"/>
        </w:rPr>
        <w:t xml:space="preserve"> </w:t>
      </w:r>
      <w:r w:rsidR="007D300F">
        <w:rPr>
          <w:b/>
          <w:bCs/>
          <w:sz w:val="22"/>
          <w:szCs w:val="22"/>
          <w:u w:val="single"/>
        </w:rPr>
        <w:t xml:space="preserve">un </w:t>
      </w:r>
      <w:r w:rsidR="007D300F">
        <w:rPr>
          <w:b/>
          <w:bCs/>
          <w:sz w:val="22"/>
          <w:szCs w:val="22"/>
          <w:u w:val="single"/>
        </w:rPr>
        <w:t>PA„HIDROCOM RR”</w:t>
      </w:r>
      <w:r w:rsidR="007D300F">
        <w:rPr>
          <w:b/>
          <w:bCs/>
          <w:sz w:val="22"/>
          <w:szCs w:val="22"/>
          <w:u w:val="single"/>
        </w:rPr>
        <w:t xml:space="preserve"> </w:t>
      </w:r>
      <w:r w:rsidRPr="00094A81">
        <w:rPr>
          <w:b/>
          <w:bCs/>
          <w:sz w:val="22"/>
          <w:szCs w:val="22"/>
          <w:u w:val="single"/>
        </w:rPr>
        <w:t>no turpmākās piedāvājumu vērtēšanas procedūras</w:t>
      </w:r>
      <w:r>
        <w:rPr>
          <w:bCs/>
          <w:sz w:val="22"/>
          <w:szCs w:val="22"/>
        </w:rPr>
        <w:t>, zemāk norādīto apstākļu dēļ:</w:t>
      </w:r>
    </w:p>
    <w:p w:rsidR="003B755C" w:rsidRDefault="003B755C" w:rsidP="003758DF">
      <w:pPr>
        <w:jc w:val="both"/>
        <w:rPr>
          <w:bCs/>
          <w:sz w:val="22"/>
          <w:szCs w:val="22"/>
        </w:rPr>
      </w:pPr>
      <w:r>
        <w:rPr>
          <w:bCs/>
          <w:sz w:val="22"/>
          <w:szCs w:val="22"/>
        </w:rPr>
        <w:t xml:space="preserve">       </w:t>
      </w:r>
    </w:p>
    <w:p w:rsidR="003B755C" w:rsidRPr="006D4F43" w:rsidRDefault="003B755C" w:rsidP="005B3A62">
      <w:pPr>
        <w:jc w:val="both"/>
        <w:rPr>
          <w:szCs w:val="28"/>
        </w:rPr>
      </w:pPr>
      <w:r>
        <w:rPr>
          <w:bCs/>
          <w:sz w:val="22"/>
          <w:szCs w:val="22"/>
        </w:rPr>
        <w:t xml:space="preserve">     </w:t>
      </w:r>
    </w:p>
    <w:p w:rsidR="003B755C" w:rsidRPr="006D4F43" w:rsidRDefault="005B3A62" w:rsidP="0048502B">
      <w:pPr>
        <w:jc w:val="both"/>
      </w:pPr>
      <w:r>
        <w:t>(1</w:t>
      </w:r>
      <w:r w:rsidR="003B755C">
        <w:t xml:space="preserve">) </w:t>
      </w:r>
      <w:r w:rsidR="003B755C" w:rsidRPr="007D300F">
        <w:rPr>
          <w:u w:val="single"/>
        </w:rPr>
        <w:t xml:space="preserve">Pretendenta – </w:t>
      </w:r>
      <w:r w:rsidR="003B755C" w:rsidRPr="007D300F">
        <w:rPr>
          <w:b/>
          <w:u w:val="single"/>
        </w:rPr>
        <w:t>SIA „</w:t>
      </w:r>
      <w:r w:rsidR="003B755C" w:rsidRPr="007D300F">
        <w:rPr>
          <w:b/>
          <w:sz w:val="22"/>
          <w:szCs w:val="22"/>
          <w:u w:val="single"/>
        </w:rPr>
        <w:t xml:space="preserve">ME </w:t>
      </w:r>
      <w:r w:rsidR="003B755C" w:rsidRPr="007D300F">
        <w:rPr>
          <w:b/>
          <w:u w:val="single"/>
        </w:rPr>
        <w:t>”</w:t>
      </w:r>
      <w:r w:rsidR="003B755C" w:rsidRPr="007D300F">
        <w:rPr>
          <w:u w:val="single"/>
        </w:rPr>
        <w:t xml:space="preserve">, reģ.Nr.40103199106 </w:t>
      </w:r>
      <w:r w:rsidR="003B755C" w:rsidRPr="006D4F43">
        <w:t xml:space="preserve">iesniegtais piedāvājums neatbilst </w:t>
      </w:r>
      <w:r>
        <w:t>iekšējā</w:t>
      </w:r>
      <w:r w:rsidR="003B755C" w:rsidRPr="006D4F43">
        <w:t xml:space="preserve"> iepirkuma procedūras dokumentācijā izvirzītajām prasībām un konstatētās neatbilstības ir būtiskas, līdz ar to, tas ir izslēdzams no turpmākās vērtēšanas, zemāk norādīto trūkumu dēļ: </w:t>
      </w:r>
    </w:p>
    <w:p w:rsidR="003B755C" w:rsidRDefault="003B755C" w:rsidP="0048502B">
      <w:pPr>
        <w:jc w:val="both"/>
        <w:rPr>
          <w:highlight w:val="yellow"/>
        </w:rPr>
      </w:pPr>
    </w:p>
    <w:p w:rsidR="005B3A62" w:rsidRPr="00961FA5" w:rsidRDefault="007D300F" w:rsidP="005B3A62">
      <w:pPr>
        <w:jc w:val="both"/>
        <w:rPr>
          <w:sz w:val="22"/>
          <w:szCs w:val="22"/>
        </w:rPr>
      </w:pPr>
      <w:r>
        <w:rPr>
          <w:sz w:val="22"/>
          <w:szCs w:val="22"/>
        </w:rPr>
        <w:t xml:space="preserve">            </w:t>
      </w:r>
      <w:r w:rsidR="005B3A62">
        <w:rPr>
          <w:sz w:val="22"/>
          <w:szCs w:val="22"/>
        </w:rPr>
        <w:t xml:space="preserve">1) </w:t>
      </w:r>
      <w:r w:rsidR="005B3A62" w:rsidRPr="00961FA5">
        <w:rPr>
          <w:sz w:val="22"/>
          <w:szCs w:val="22"/>
        </w:rPr>
        <w:t xml:space="preserve">Pārbaudot pretendenta sniegtās ziņas par būvniecības jomām, kurās būvkomersants (pretendents) saskaņā ar būvniecības likuma </w:t>
      </w:r>
      <w:r w:rsidR="005B3A62">
        <w:rPr>
          <w:sz w:val="22"/>
          <w:szCs w:val="22"/>
        </w:rPr>
        <w:t>22.</w:t>
      </w:r>
      <w:r w:rsidR="005B3A62" w:rsidRPr="00961FA5">
        <w:rPr>
          <w:sz w:val="22"/>
          <w:szCs w:val="22"/>
        </w:rPr>
        <w:t xml:space="preserve"> panta 2 daļu ir tiesīgs veikt komercdarbību, Latvijas  Republikas Ekonomikas ministrijas publiski pieejamā būvkomersanta reģistrā, tika konstatēts, ka </w:t>
      </w:r>
      <w:r w:rsidR="005B3A62" w:rsidRPr="00961FA5">
        <w:rPr>
          <w:b/>
          <w:sz w:val="22"/>
          <w:szCs w:val="22"/>
        </w:rPr>
        <w:t xml:space="preserve">pretendents ir tiesīgs veikt komercdarbību ceļu projektēšanā, ceļu būvdarbu vadīšanā un būvuzraudzībā. </w:t>
      </w:r>
    </w:p>
    <w:p w:rsidR="005B3A62" w:rsidRPr="00241B49" w:rsidRDefault="005B3A62" w:rsidP="005B3A62">
      <w:pPr>
        <w:jc w:val="both"/>
        <w:rPr>
          <w:b/>
          <w:i/>
          <w:sz w:val="22"/>
          <w:szCs w:val="22"/>
        </w:rPr>
      </w:pPr>
      <w:r w:rsidRPr="00961FA5">
        <w:rPr>
          <w:sz w:val="22"/>
          <w:szCs w:val="22"/>
        </w:rPr>
        <w:t xml:space="preserve">Saskaņā ar būvkomersantu reģistrā esošo informāciju, pretendents ievērojot Ministra kabineta noteikumus </w:t>
      </w:r>
      <w:r>
        <w:rPr>
          <w:sz w:val="22"/>
          <w:szCs w:val="22"/>
        </w:rPr>
        <w:t>Nr.116 „Būvkomersantu reģistrācijas noteikumi”</w:t>
      </w:r>
      <w:r w:rsidRPr="00961FA5">
        <w:rPr>
          <w:sz w:val="22"/>
          <w:szCs w:val="22"/>
        </w:rPr>
        <w:t xml:space="preserve"> </w:t>
      </w:r>
      <w:r>
        <w:rPr>
          <w:sz w:val="22"/>
          <w:szCs w:val="22"/>
        </w:rPr>
        <w:t>5</w:t>
      </w:r>
      <w:r w:rsidRPr="00961FA5">
        <w:rPr>
          <w:sz w:val="22"/>
          <w:szCs w:val="22"/>
        </w:rPr>
        <w:t xml:space="preserve">. punkta </w:t>
      </w:r>
      <w:r>
        <w:rPr>
          <w:sz w:val="22"/>
          <w:szCs w:val="22"/>
        </w:rPr>
        <w:t>5</w:t>
      </w:r>
      <w:r w:rsidRPr="00961FA5">
        <w:rPr>
          <w:sz w:val="22"/>
          <w:szCs w:val="22"/>
        </w:rPr>
        <w:t>.2. apakšpunktu ir nodarbinājis atbildīgo speciālistu (Anatoliju Petrukēviču), kas ir sertificēts ceļu projektēšanā, būvdarbu vadīšanā un būvuzraudzības jomā.</w:t>
      </w:r>
      <w:r>
        <w:rPr>
          <w:sz w:val="22"/>
          <w:szCs w:val="22"/>
        </w:rPr>
        <w:t xml:space="preserve"> </w:t>
      </w:r>
      <w:r w:rsidRPr="00241B49">
        <w:rPr>
          <w:b/>
          <w:i/>
          <w:sz w:val="22"/>
          <w:szCs w:val="22"/>
        </w:rPr>
        <w:t>Tādējādi Pretendents ir apliecinājis faktu, ka Pretendentam ir tiesības nodarboties ar komercdarbību ceļu projektēšanā, ceļu būvdarbu vadīšanā un būvuzraudzībā.</w:t>
      </w:r>
    </w:p>
    <w:p w:rsidR="005B3A62" w:rsidRPr="005942C4" w:rsidRDefault="005B3A62" w:rsidP="005B3A62">
      <w:pPr>
        <w:ind w:firstLine="720"/>
        <w:jc w:val="both"/>
        <w:rPr>
          <w:b/>
          <w:i/>
          <w:sz w:val="22"/>
          <w:szCs w:val="22"/>
        </w:rPr>
      </w:pPr>
      <w:r>
        <w:rPr>
          <w:sz w:val="22"/>
          <w:szCs w:val="22"/>
        </w:rPr>
        <w:t xml:space="preserve">2) </w:t>
      </w:r>
      <w:r w:rsidRPr="00961FA5">
        <w:rPr>
          <w:sz w:val="22"/>
          <w:szCs w:val="22"/>
        </w:rPr>
        <w:t xml:space="preserve"> Papildus </w:t>
      </w:r>
      <w:r w:rsidRPr="00961FA5">
        <w:rPr>
          <w:b/>
          <w:sz w:val="22"/>
          <w:szCs w:val="22"/>
        </w:rPr>
        <w:t>Pretendenta piedāvājumā ir pievienota būvprakses sertifikāta ūdensapgādes un kanalizācijas sistēmu būvmontāžas darbu vadīšanā un būvuzraudzībā  ar  Nr.  50 – 2997, kas izniegts Andrim Žukauskam, kopija. Piedāvājums nesatur dokumentus, kas apliecinātu faktu, ka minētais speciālists hidromelioratīvajā būvniecības jomā ir nodarbināts pie pretendenta kā atbildīgais speciālists, atbilstoši Ministru kabineta noteikumiem Nr.</w:t>
      </w:r>
      <w:r>
        <w:rPr>
          <w:b/>
          <w:sz w:val="22"/>
          <w:szCs w:val="22"/>
        </w:rPr>
        <w:t>116</w:t>
      </w:r>
      <w:r w:rsidRPr="00961FA5">
        <w:rPr>
          <w:b/>
          <w:sz w:val="22"/>
          <w:szCs w:val="22"/>
        </w:rPr>
        <w:t xml:space="preserve">  būvkomersantu reģistrācijas noteikumi </w:t>
      </w:r>
      <w:r>
        <w:rPr>
          <w:b/>
          <w:sz w:val="22"/>
          <w:szCs w:val="22"/>
        </w:rPr>
        <w:t>5</w:t>
      </w:r>
      <w:r w:rsidRPr="00961FA5">
        <w:rPr>
          <w:b/>
          <w:sz w:val="22"/>
          <w:szCs w:val="22"/>
        </w:rPr>
        <w:t xml:space="preserve">. punkta </w:t>
      </w:r>
      <w:r>
        <w:rPr>
          <w:b/>
          <w:sz w:val="22"/>
          <w:szCs w:val="22"/>
        </w:rPr>
        <w:t>5</w:t>
      </w:r>
      <w:r w:rsidRPr="00961FA5">
        <w:rPr>
          <w:b/>
          <w:sz w:val="22"/>
          <w:szCs w:val="22"/>
        </w:rPr>
        <w:t xml:space="preserve">.2. apakšpunkta noteikumiem, </w:t>
      </w:r>
      <w:r w:rsidRPr="00961FA5">
        <w:rPr>
          <w:sz w:val="22"/>
          <w:szCs w:val="22"/>
        </w:rPr>
        <w:t>kuri nosaka ka komersantam ir pastāvīgi jāuztur un jāaktualizē informācija būvkomersanta reģistrā par nodarbinātajiem atbildīgajiem speciālistiem</w:t>
      </w:r>
      <w:r>
        <w:rPr>
          <w:sz w:val="22"/>
          <w:szCs w:val="22"/>
        </w:rPr>
        <w:t xml:space="preserve"> uz darba līguma pamata</w:t>
      </w:r>
      <w:r w:rsidRPr="00961FA5">
        <w:rPr>
          <w:sz w:val="22"/>
          <w:szCs w:val="22"/>
        </w:rPr>
        <w:t xml:space="preserve"> attiecīgās būvniecības jomās, kurās būvkomersants vēlas veikt komercdarbību. </w:t>
      </w:r>
      <w:r w:rsidRPr="005942C4">
        <w:rPr>
          <w:b/>
          <w:i/>
          <w:sz w:val="22"/>
          <w:szCs w:val="22"/>
        </w:rPr>
        <w:t>Līdz ar to ir konstatējams, ka Pretendentam nav tiesības veikt komercdarbību publiskās iepirkumam procedūras dokumentācijā norādīto darbu izpildē.</w:t>
      </w:r>
    </w:p>
    <w:p w:rsidR="005B3A62" w:rsidRDefault="005B3A62" w:rsidP="005B3A62">
      <w:pPr>
        <w:ind w:firstLine="720"/>
        <w:jc w:val="both"/>
        <w:rPr>
          <w:sz w:val="22"/>
          <w:szCs w:val="22"/>
        </w:rPr>
      </w:pPr>
      <w:r>
        <w:rPr>
          <w:sz w:val="22"/>
          <w:szCs w:val="22"/>
        </w:rPr>
        <w:t>3)</w:t>
      </w:r>
      <w:r w:rsidRPr="00961FA5">
        <w:rPr>
          <w:sz w:val="22"/>
          <w:szCs w:val="22"/>
        </w:rPr>
        <w:t xml:space="preserve">Pārbaudot Valsts ieņēmumu dienesta publiski pieejamā mājaslapā informāciju par </w:t>
      </w:r>
      <w:r>
        <w:rPr>
          <w:sz w:val="22"/>
          <w:szCs w:val="22"/>
        </w:rPr>
        <w:t xml:space="preserve">Pretendenta kā </w:t>
      </w:r>
      <w:r w:rsidRPr="00961FA5">
        <w:rPr>
          <w:sz w:val="22"/>
          <w:szCs w:val="22"/>
        </w:rPr>
        <w:t xml:space="preserve">nodokļu maksātāja VID administrēto nodokļu (nodevu) parāda esamību vai </w:t>
      </w:r>
      <w:r w:rsidRPr="00961FA5">
        <w:rPr>
          <w:sz w:val="22"/>
          <w:szCs w:val="22"/>
        </w:rPr>
        <w:lastRenderedPageBreak/>
        <w:t xml:space="preserve">neesamību, tika konstatēts ,ka </w:t>
      </w:r>
      <w:r>
        <w:rPr>
          <w:sz w:val="22"/>
          <w:szCs w:val="22"/>
        </w:rPr>
        <w:t>P</w:t>
      </w:r>
      <w:r w:rsidRPr="00961FA5">
        <w:rPr>
          <w:sz w:val="22"/>
          <w:szCs w:val="22"/>
        </w:rPr>
        <w:t>retendentam uz 2014.gada novembra 07. datumā nodokļu maksātājam  ir VID administrēto nodokļu (nodevu) parāds 449.45 euro apmērā.</w:t>
      </w:r>
    </w:p>
    <w:p w:rsidR="005B3A62" w:rsidRPr="00961FA5" w:rsidRDefault="005B3A62" w:rsidP="005B3A62">
      <w:pPr>
        <w:ind w:firstLine="720"/>
        <w:jc w:val="both"/>
        <w:rPr>
          <w:sz w:val="22"/>
          <w:szCs w:val="22"/>
        </w:rPr>
      </w:pPr>
      <w:r w:rsidRPr="00961FA5">
        <w:rPr>
          <w:b/>
          <w:sz w:val="22"/>
          <w:szCs w:val="22"/>
        </w:rPr>
        <w:t xml:space="preserve">Līdz ar to ir secināms, ka </w:t>
      </w:r>
      <w:r>
        <w:rPr>
          <w:b/>
          <w:sz w:val="22"/>
          <w:szCs w:val="22"/>
        </w:rPr>
        <w:t>P</w:t>
      </w:r>
      <w:r w:rsidRPr="00961FA5">
        <w:rPr>
          <w:b/>
          <w:sz w:val="22"/>
          <w:szCs w:val="22"/>
        </w:rPr>
        <w:t xml:space="preserve">retendents ir iesniedzis piedāvājumu par būvniecības jomu, kurā viņš nav tiesīgs izpildīt darbus ievērojot būvniecības likuma </w:t>
      </w:r>
      <w:r>
        <w:rPr>
          <w:b/>
          <w:sz w:val="22"/>
          <w:szCs w:val="22"/>
        </w:rPr>
        <w:t>22.</w:t>
      </w:r>
      <w:r w:rsidRPr="00961FA5">
        <w:rPr>
          <w:b/>
          <w:sz w:val="22"/>
          <w:szCs w:val="22"/>
        </w:rPr>
        <w:t>panta 2.daļu,</w:t>
      </w:r>
      <w:r w:rsidRPr="00961FA5">
        <w:rPr>
          <w:sz w:val="22"/>
          <w:szCs w:val="22"/>
        </w:rPr>
        <w:t xml:space="preserve"> jo būvkomersanta reģistrā pretendentam nav reģistrēts atbildīgais speciālists, kurš būtu saņēmis attiecīgu sertifikātu publisko iepirkumu līgumā paredzēto darbu izpildei.</w:t>
      </w:r>
    </w:p>
    <w:p w:rsidR="005B3A62" w:rsidRPr="00961FA5" w:rsidRDefault="005B3A62" w:rsidP="005B3A62">
      <w:pPr>
        <w:ind w:firstLine="720"/>
        <w:jc w:val="both"/>
        <w:rPr>
          <w:sz w:val="22"/>
          <w:szCs w:val="22"/>
        </w:rPr>
      </w:pPr>
    </w:p>
    <w:p w:rsidR="007D300F" w:rsidRPr="00B372CF" w:rsidRDefault="007D300F" w:rsidP="007D300F">
      <w:pPr>
        <w:ind w:firstLine="720"/>
        <w:jc w:val="both"/>
        <w:rPr>
          <w:sz w:val="22"/>
          <w:szCs w:val="22"/>
        </w:rPr>
      </w:pPr>
      <w:r>
        <w:rPr>
          <w:sz w:val="22"/>
          <w:szCs w:val="22"/>
        </w:rPr>
        <w:t xml:space="preserve">Ievērojot konstatētās neatbilstības iepirkuma procedūras dokumentācijā izvirzītajām prasībām, </w:t>
      </w:r>
      <w:r>
        <w:rPr>
          <w:sz w:val="22"/>
          <w:szCs w:val="22"/>
        </w:rPr>
        <w:t>SIA „ME”</w:t>
      </w:r>
      <w:r>
        <w:rPr>
          <w:sz w:val="22"/>
          <w:szCs w:val="22"/>
        </w:rPr>
        <w:t xml:space="preserve"> tika izslēgts no dalības iepirkuma procedūrā.</w:t>
      </w:r>
    </w:p>
    <w:p w:rsidR="007D300F" w:rsidRDefault="007D300F" w:rsidP="006D4F43">
      <w:pPr>
        <w:jc w:val="both"/>
        <w:rPr>
          <w:szCs w:val="28"/>
        </w:rPr>
      </w:pPr>
    </w:p>
    <w:p w:rsidR="007D300F" w:rsidRDefault="007D300F" w:rsidP="006D4F43">
      <w:pPr>
        <w:jc w:val="both"/>
      </w:pPr>
      <w:r>
        <w:t xml:space="preserve">(2) </w:t>
      </w:r>
      <w:r w:rsidRPr="007D300F">
        <w:rPr>
          <w:u w:val="single"/>
        </w:rPr>
        <w:t>Pretendenta –</w:t>
      </w:r>
      <w:r w:rsidRPr="007D300F">
        <w:rPr>
          <w:b/>
          <w:bCs/>
          <w:sz w:val="22"/>
          <w:szCs w:val="22"/>
          <w:u w:val="single"/>
        </w:rPr>
        <w:t>PA„HIDROCOM RR”</w:t>
      </w:r>
      <w:r w:rsidRPr="007D300F">
        <w:rPr>
          <w:b/>
          <w:bCs/>
          <w:sz w:val="22"/>
          <w:szCs w:val="22"/>
          <w:u w:val="single"/>
        </w:rPr>
        <w:t xml:space="preserve">, </w:t>
      </w:r>
      <w:r w:rsidRPr="007D300F">
        <w:rPr>
          <w:u w:val="single"/>
        </w:rPr>
        <w:t>reģ.Nr</w:t>
      </w:r>
      <w:r w:rsidRPr="007D300F">
        <w:rPr>
          <w:u w:val="single"/>
        </w:rPr>
        <w:t>.</w:t>
      </w:r>
      <w:r w:rsidRPr="007D300F">
        <w:rPr>
          <w:b/>
          <w:bCs/>
          <w:sz w:val="22"/>
          <w:szCs w:val="22"/>
          <w:u w:val="single"/>
        </w:rPr>
        <w:t xml:space="preserve"> </w:t>
      </w:r>
      <w:r w:rsidRPr="007D300F">
        <w:rPr>
          <w:bCs/>
          <w:sz w:val="22"/>
          <w:szCs w:val="22"/>
          <w:u w:val="single"/>
        </w:rPr>
        <w:t>40103406791</w:t>
      </w:r>
      <w:r>
        <w:rPr>
          <w:bCs/>
          <w:sz w:val="22"/>
          <w:szCs w:val="22"/>
          <w:u w:val="single"/>
        </w:rPr>
        <w:t xml:space="preserve"> </w:t>
      </w:r>
      <w:r w:rsidRPr="006D4F43">
        <w:t xml:space="preserve">iesniegtais piedāvājums neatbilst </w:t>
      </w:r>
      <w:r>
        <w:t>iekšējā</w:t>
      </w:r>
      <w:r w:rsidRPr="006D4F43">
        <w:t xml:space="preserve"> iepirkuma procedūras dokumentācijā izvirzītajām prasībām un konstatētās neatbilstības ir būtiskas, līdz ar to, tas ir izslēdzams no turpmākās vērtēšanas, zemāk norādīto trūkumu dēļ</w:t>
      </w:r>
    </w:p>
    <w:p w:rsidR="007D300F" w:rsidRDefault="007D300F" w:rsidP="006D4F43">
      <w:pPr>
        <w:jc w:val="both"/>
      </w:pPr>
    </w:p>
    <w:p w:rsidR="007D300F" w:rsidRDefault="007D300F" w:rsidP="007D300F">
      <w:pPr>
        <w:ind w:firstLine="720"/>
        <w:jc w:val="both"/>
        <w:rPr>
          <w:sz w:val="22"/>
          <w:szCs w:val="22"/>
        </w:rPr>
      </w:pPr>
      <w:r>
        <w:rPr>
          <w:sz w:val="22"/>
          <w:szCs w:val="22"/>
        </w:rPr>
        <w:t xml:space="preserve">1) Pretendents – PA „HIDROCOM RR” nav izpildījis iepirkuma procedūras dokumentācijas 1.punkta prasības. Proti, pretendenta piedāvājumam pievienotais 2014.gada 7.novembra personu apvienības „Hidrocom RR” dibināšanas līgums nav attiecināms uz pasūtītāja izsludināto iepirkuma procedūru ar identifikācijas numuru ID Nr.M-JU-06/2014. Minētais apgalvojums tiek pamatots ar faktu, ka ne viens minētā līguma punkts nesatur atsauci ne uz pasūtītāja nosaukumu, ne arī pasūtītāja izsludinātās iepirkuma procedūras identifikācijas numuru vai nosaukumu. Līdz ar to, minētais tiesiskais darījums nevar tikt atzīts par dokumentu, kas ļauj piedāvājumu parakstījušai personai uzņemties saistības pretendenta vārdā. </w:t>
      </w:r>
    </w:p>
    <w:p w:rsidR="007D300F" w:rsidRDefault="007D300F" w:rsidP="007D300F">
      <w:pPr>
        <w:ind w:firstLine="720"/>
        <w:jc w:val="both"/>
        <w:rPr>
          <w:sz w:val="22"/>
          <w:szCs w:val="22"/>
        </w:rPr>
      </w:pPr>
      <w:r>
        <w:rPr>
          <w:sz w:val="22"/>
          <w:szCs w:val="22"/>
        </w:rPr>
        <w:t>2) Pretendenta – PA „HIDROCOM RR”  piedāvājums nesatur iepirkuma procedūras dokumentācijas 2.punktā pieprasīto informāciju par personu, uz kura resursiem balstās pretendents - SIA „Hidrocom”. [</w:t>
      </w:r>
      <w:r w:rsidRPr="00450E77">
        <w:rPr>
          <w:i/>
          <w:sz w:val="22"/>
          <w:szCs w:val="22"/>
        </w:rPr>
        <w:t>2.Pretendenta apliecinājums par to, ka pēdējo divu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r>
        <w:rPr>
          <w:sz w:val="22"/>
          <w:szCs w:val="22"/>
        </w:rPr>
        <w:t xml:space="preserve"> Minētā prasība ir attiecināma uz visiem personu apvienības dalībniekiem, jo piedāvājuma iesniegšanas brīdī tie nav nodibinājuši komercsabiedrību Komerclikumā noteiktajā kārtībā, kas kā patstāvīgs tiesību subjekts varētu sniegt apliecinājumus un citus dokumentus no sava vārda. Līdz ar to, ievērojot Publisko iepirkumu likuma 39.</w:t>
      </w:r>
      <w:r>
        <w:rPr>
          <w:sz w:val="22"/>
          <w:szCs w:val="22"/>
          <w:vertAlign w:val="superscript"/>
        </w:rPr>
        <w:t xml:space="preserve">1 </w:t>
      </w:r>
      <w:r>
        <w:rPr>
          <w:sz w:val="22"/>
          <w:szCs w:val="22"/>
        </w:rPr>
        <w:t>panta pirmās daļas 6)punkta noteikumus pasūtītājam ir jāizslēdz pretendents no turpmākās dalības iepirkumā.</w:t>
      </w:r>
    </w:p>
    <w:p w:rsidR="007D300F" w:rsidRDefault="007D300F" w:rsidP="007D300F">
      <w:pPr>
        <w:ind w:firstLine="720"/>
        <w:jc w:val="both"/>
        <w:rPr>
          <w:sz w:val="22"/>
          <w:szCs w:val="22"/>
        </w:rPr>
      </w:pPr>
      <w:r>
        <w:rPr>
          <w:sz w:val="22"/>
          <w:szCs w:val="22"/>
        </w:rPr>
        <w:tab/>
        <w:t>3) Kopsakarā izvērtējot pretendenta – PA „HIDROCOM RR” piedāvājumu un tajā ietvertās dokumentācijas saturu, pasūtītājs nekonstatē galveno vērtēšanas kritēriju vienošanās par kopīgu dalību iepirkumā slēgšanai un kopīga piedāvājuma iesniegšanai, proti, ka uzņēmumi nebija spējīgi iesniegt piedāvājumu atsevišķi. Vadoties no pretendenta iesniegtā piedāvājuma satura viennozīmīgi ir secināms, ka SIA „Riga rent” bija spējīgs iesniegt atsevišķi piedāvājumu pasūtītāja izsludinātajā iepirkuma procedūrā. Visas atsauksmes no citiem pasūtītājiem, kā arī norādītie veiktie darbu apjomi un finanšu rādītāji ir iesniegti par tikai un vienīgi par SIA „Riga rent”. Līdz ar to arī vadoties no Konkurences likuma noteikumiem šādu vienošanos iespējams var uzskatīt par minētā likuma pārkāpumu.</w:t>
      </w:r>
    </w:p>
    <w:p w:rsidR="007D300F" w:rsidRPr="00B372CF" w:rsidRDefault="007D300F" w:rsidP="007D300F">
      <w:pPr>
        <w:ind w:firstLine="720"/>
        <w:jc w:val="both"/>
        <w:rPr>
          <w:sz w:val="22"/>
          <w:szCs w:val="22"/>
        </w:rPr>
      </w:pPr>
      <w:r>
        <w:rPr>
          <w:sz w:val="22"/>
          <w:szCs w:val="22"/>
        </w:rPr>
        <w:t>Ievērojot konstatētās neatbilstības iepirkuma procedūras dokumentācijā izvirzītajām prasībām, PA „HIDROCOM RR” tika izslēgts no dalības iepirkuma procedūrā.</w:t>
      </w:r>
    </w:p>
    <w:p w:rsidR="007D300F" w:rsidRPr="006D4F43" w:rsidRDefault="007D300F" w:rsidP="006D4F43">
      <w:pPr>
        <w:jc w:val="both"/>
        <w:rPr>
          <w:szCs w:val="28"/>
        </w:rPr>
      </w:pPr>
    </w:p>
    <w:p w:rsidR="003B755C" w:rsidRPr="00432753" w:rsidRDefault="003B755C" w:rsidP="0048502B">
      <w:pPr>
        <w:jc w:val="both"/>
        <w:rPr>
          <w:highlight w:val="yellow"/>
        </w:rPr>
      </w:pPr>
    </w:p>
    <w:p w:rsidR="003B755C" w:rsidRPr="004C67B9" w:rsidRDefault="003B755C" w:rsidP="001F4268">
      <w:pPr>
        <w:ind w:right="71"/>
        <w:jc w:val="both"/>
        <w:rPr>
          <w:bCs/>
          <w:sz w:val="22"/>
          <w:szCs w:val="22"/>
        </w:rPr>
      </w:pPr>
      <w:r w:rsidRPr="004C67B9">
        <w:rPr>
          <w:bCs/>
          <w:sz w:val="22"/>
          <w:szCs w:val="22"/>
        </w:rPr>
        <w:t>Iepirkumu komisijas locekļu individuālo vērtējumu apkopojums ar vērtējum</w:t>
      </w:r>
      <w:r>
        <w:rPr>
          <w:bCs/>
          <w:sz w:val="22"/>
          <w:szCs w:val="22"/>
        </w:rPr>
        <w:t>u</w:t>
      </w:r>
      <w:r w:rsidRPr="004C67B9">
        <w:rPr>
          <w:bCs/>
          <w:sz w:val="22"/>
          <w:szCs w:val="22"/>
        </w:rPr>
        <w:t xml:space="preserve"> pamatojumu </w:t>
      </w:r>
      <w:r>
        <w:rPr>
          <w:bCs/>
          <w:sz w:val="22"/>
          <w:szCs w:val="22"/>
        </w:rPr>
        <w:t xml:space="preserve">tiek </w:t>
      </w:r>
      <w:r w:rsidRPr="004C67B9">
        <w:rPr>
          <w:bCs/>
          <w:sz w:val="22"/>
          <w:szCs w:val="22"/>
        </w:rPr>
        <w:t xml:space="preserve">pievienots protokola </w:t>
      </w:r>
      <w:r>
        <w:rPr>
          <w:bCs/>
          <w:i/>
          <w:sz w:val="22"/>
          <w:szCs w:val="22"/>
        </w:rPr>
        <w:t>4</w:t>
      </w:r>
      <w:r w:rsidRPr="0053144A">
        <w:rPr>
          <w:bCs/>
          <w:i/>
          <w:sz w:val="22"/>
          <w:szCs w:val="22"/>
        </w:rPr>
        <w:t>.pielikumā.</w:t>
      </w:r>
    </w:p>
    <w:p w:rsidR="003B755C" w:rsidRDefault="003B755C" w:rsidP="0048502B">
      <w:pPr>
        <w:jc w:val="both"/>
        <w:rPr>
          <w:highlight w:val="yellow"/>
        </w:rPr>
      </w:pPr>
    </w:p>
    <w:p w:rsidR="007D300F" w:rsidRDefault="007D300F" w:rsidP="0048502B">
      <w:pPr>
        <w:jc w:val="both"/>
        <w:rPr>
          <w:b/>
        </w:rPr>
      </w:pPr>
    </w:p>
    <w:p w:rsidR="007D300F" w:rsidRDefault="007D300F" w:rsidP="0048502B">
      <w:pPr>
        <w:jc w:val="both"/>
        <w:rPr>
          <w:b/>
        </w:rPr>
      </w:pPr>
    </w:p>
    <w:p w:rsidR="007D300F" w:rsidRDefault="007D300F" w:rsidP="0048502B">
      <w:pPr>
        <w:jc w:val="both"/>
        <w:rPr>
          <w:b/>
        </w:rPr>
      </w:pPr>
    </w:p>
    <w:p w:rsidR="007D300F" w:rsidRDefault="007D300F" w:rsidP="0048502B">
      <w:pPr>
        <w:jc w:val="both"/>
        <w:rPr>
          <w:b/>
        </w:rPr>
      </w:pPr>
    </w:p>
    <w:p w:rsidR="007D300F" w:rsidRDefault="007D300F" w:rsidP="0048502B">
      <w:pPr>
        <w:jc w:val="both"/>
        <w:rPr>
          <w:b/>
        </w:rPr>
      </w:pPr>
    </w:p>
    <w:p w:rsidR="007D300F" w:rsidRDefault="007D300F" w:rsidP="0048502B">
      <w:pPr>
        <w:jc w:val="both"/>
        <w:rPr>
          <w:b/>
        </w:rPr>
      </w:pPr>
    </w:p>
    <w:p w:rsidR="003B755C" w:rsidRPr="00D466C4" w:rsidRDefault="003B755C" w:rsidP="0048502B">
      <w:pPr>
        <w:jc w:val="both"/>
        <w:rPr>
          <w:b/>
        </w:rPr>
      </w:pPr>
      <w:r w:rsidRPr="00D466C4">
        <w:rPr>
          <w:b/>
        </w:rPr>
        <w:lastRenderedPageBreak/>
        <w:t>Pamatojoties uz augstāk minēto un iepirkumu komisijas locekļu individuālajiem vērtējumiem, iepirkumu komisija nolemj:</w:t>
      </w:r>
    </w:p>
    <w:p w:rsidR="003B755C" w:rsidRPr="008F60D1" w:rsidRDefault="003B755C" w:rsidP="003758DF">
      <w:pPr>
        <w:ind w:left="720" w:right="71"/>
        <w:jc w:val="both"/>
        <w:rPr>
          <w:bCs/>
          <w:sz w:val="22"/>
          <w:szCs w:val="22"/>
        </w:rPr>
      </w:pPr>
    </w:p>
    <w:p w:rsidR="003B755C" w:rsidRPr="006D4F43" w:rsidRDefault="003B755C" w:rsidP="003758DF">
      <w:pPr>
        <w:ind w:right="71"/>
        <w:rPr>
          <w:bCs/>
          <w:sz w:val="22"/>
          <w:szCs w:val="22"/>
        </w:rPr>
      </w:pPr>
      <w:r w:rsidRPr="006D4F43">
        <w:rPr>
          <w:bCs/>
          <w:sz w:val="22"/>
          <w:szCs w:val="22"/>
        </w:rPr>
        <w:t xml:space="preserve">1.  Par visizdevīgāko piedāvājumu atzīt  </w:t>
      </w:r>
      <w:r w:rsidRPr="006D4F43">
        <w:rPr>
          <w:sz w:val="22"/>
          <w:szCs w:val="22"/>
        </w:rPr>
        <w:t>SIA „SALI BŪVTRANS”</w:t>
      </w:r>
      <w:r w:rsidRPr="006D4F43">
        <w:rPr>
          <w:bCs/>
          <w:sz w:val="22"/>
          <w:szCs w:val="22"/>
        </w:rPr>
        <w:t xml:space="preserve"> piedāvājumu, kas saskaņā ar iepirkumu komisijas locekļu individuālajiem vērtējumiem ir ieguvis lielāko punktu skaitu.</w:t>
      </w:r>
    </w:p>
    <w:p w:rsidR="003B755C" w:rsidRPr="006D4F43" w:rsidRDefault="003B755C" w:rsidP="003758DF">
      <w:pPr>
        <w:ind w:right="71"/>
        <w:jc w:val="both"/>
        <w:rPr>
          <w:bCs/>
          <w:sz w:val="22"/>
          <w:szCs w:val="22"/>
        </w:rPr>
      </w:pPr>
      <w:r w:rsidRPr="006D4F43">
        <w:rPr>
          <w:bCs/>
          <w:sz w:val="22"/>
          <w:szCs w:val="22"/>
        </w:rPr>
        <w:t xml:space="preserve">2.  Noslēgt ar </w:t>
      </w:r>
      <w:r w:rsidRPr="006D4F43">
        <w:rPr>
          <w:sz w:val="22"/>
          <w:szCs w:val="22"/>
        </w:rPr>
        <w:t>SIA „SALI BŪVTRANS”</w:t>
      </w:r>
      <w:r w:rsidRPr="006D4F43">
        <w:rPr>
          <w:bCs/>
          <w:sz w:val="22"/>
          <w:szCs w:val="22"/>
        </w:rPr>
        <w:t xml:space="preserve"> līgumu, saskaņā ar </w:t>
      </w:r>
      <w:r w:rsidR="005B3A62">
        <w:rPr>
          <w:bCs/>
          <w:sz w:val="22"/>
          <w:szCs w:val="22"/>
        </w:rPr>
        <w:t>iekšējās</w:t>
      </w:r>
      <w:r w:rsidRPr="006D4F43">
        <w:rPr>
          <w:bCs/>
          <w:sz w:val="22"/>
          <w:szCs w:val="22"/>
        </w:rPr>
        <w:t xml:space="preserve"> iepirkuma procedūras dokumentāciju un iesniegto piedāvājumu.</w:t>
      </w:r>
    </w:p>
    <w:p w:rsidR="003B755C" w:rsidRPr="006D4F43" w:rsidRDefault="003B755C" w:rsidP="007D7828">
      <w:pPr>
        <w:ind w:right="-213"/>
        <w:jc w:val="both"/>
        <w:rPr>
          <w:b/>
          <w:sz w:val="22"/>
          <w:szCs w:val="22"/>
          <w:u w:val="single"/>
        </w:rPr>
      </w:pPr>
    </w:p>
    <w:p w:rsidR="003B755C" w:rsidRPr="006D4F43" w:rsidRDefault="003B755C" w:rsidP="007D7828">
      <w:pPr>
        <w:ind w:right="-213"/>
        <w:jc w:val="both"/>
        <w:rPr>
          <w:sz w:val="22"/>
          <w:szCs w:val="22"/>
        </w:rPr>
      </w:pPr>
      <w:r w:rsidRPr="006D4F43">
        <w:rPr>
          <w:b/>
          <w:sz w:val="22"/>
          <w:szCs w:val="22"/>
          <w:u w:val="single"/>
        </w:rPr>
        <w:t>Balso “par”</w:t>
      </w:r>
      <w:r w:rsidRPr="006D4F43">
        <w:rPr>
          <w:b/>
          <w:sz w:val="22"/>
          <w:szCs w:val="22"/>
        </w:rPr>
        <w:t>:</w:t>
      </w:r>
      <w:r w:rsidRPr="006D4F43">
        <w:rPr>
          <w:sz w:val="22"/>
          <w:szCs w:val="22"/>
        </w:rPr>
        <w:t xml:space="preserve"> P.Plinte, A.Kamarūts, L.Janberga.</w:t>
      </w:r>
    </w:p>
    <w:p w:rsidR="003B755C" w:rsidRPr="006D4F43" w:rsidRDefault="003B755C" w:rsidP="007D7828">
      <w:pPr>
        <w:ind w:right="71"/>
        <w:jc w:val="both"/>
        <w:rPr>
          <w:sz w:val="22"/>
          <w:szCs w:val="22"/>
        </w:rPr>
      </w:pPr>
      <w:r w:rsidRPr="006D4F43">
        <w:rPr>
          <w:b/>
          <w:sz w:val="22"/>
          <w:szCs w:val="22"/>
          <w:u w:val="single"/>
        </w:rPr>
        <w:t>Balso “pret”</w:t>
      </w:r>
      <w:r w:rsidRPr="006D4F43">
        <w:rPr>
          <w:b/>
          <w:sz w:val="22"/>
          <w:szCs w:val="22"/>
        </w:rPr>
        <w:t xml:space="preserve">: </w:t>
      </w:r>
      <w:r w:rsidRPr="006D4F43">
        <w:rPr>
          <w:bCs/>
          <w:sz w:val="22"/>
          <w:szCs w:val="22"/>
        </w:rPr>
        <w:t>nav.</w:t>
      </w:r>
    </w:p>
    <w:p w:rsidR="003B755C" w:rsidRPr="006D4F43" w:rsidRDefault="003B755C" w:rsidP="007D7828">
      <w:pPr>
        <w:ind w:right="71"/>
        <w:jc w:val="both"/>
        <w:rPr>
          <w:sz w:val="22"/>
          <w:szCs w:val="22"/>
        </w:rPr>
      </w:pPr>
      <w:r w:rsidRPr="006D4F43">
        <w:rPr>
          <w:b/>
          <w:sz w:val="22"/>
          <w:szCs w:val="22"/>
          <w:u w:val="single"/>
        </w:rPr>
        <w:t>Balso “atturas”</w:t>
      </w:r>
      <w:r w:rsidRPr="006D4F43">
        <w:rPr>
          <w:b/>
          <w:sz w:val="22"/>
          <w:szCs w:val="22"/>
        </w:rPr>
        <w:t>:</w:t>
      </w:r>
      <w:r w:rsidRPr="006D4F43">
        <w:rPr>
          <w:sz w:val="22"/>
          <w:szCs w:val="22"/>
        </w:rPr>
        <w:t xml:space="preserve"> nav.</w:t>
      </w:r>
    </w:p>
    <w:p w:rsidR="003B755C" w:rsidRPr="006D4F43" w:rsidRDefault="003B755C" w:rsidP="007D7828">
      <w:pPr>
        <w:ind w:right="71"/>
        <w:jc w:val="both"/>
        <w:rPr>
          <w:b/>
          <w:sz w:val="22"/>
          <w:szCs w:val="22"/>
          <w:u w:val="single"/>
        </w:rPr>
      </w:pPr>
      <w:r w:rsidRPr="006D4F43">
        <w:rPr>
          <w:b/>
          <w:sz w:val="22"/>
          <w:szCs w:val="22"/>
          <w:u w:val="single"/>
        </w:rPr>
        <w:t>Lēmums ir pieņemts</w:t>
      </w:r>
    </w:p>
    <w:p w:rsidR="003B755C" w:rsidRPr="006D4F43" w:rsidRDefault="003B755C" w:rsidP="007D7828">
      <w:pPr>
        <w:ind w:right="71"/>
        <w:jc w:val="both"/>
        <w:rPr>
          <w:b/>
          <w:sz w:val="22"/>
          <w:szCs w:val="22"/>
        </w:rPr>
      </w:pPr>
    </w:p>
    <w:p w:rsidR="003B755C" w:rsidRPr="006D4F43" w:rsidRDefault="003B755C" w:rsidP="007D7828">
      <w:pPr>
        <w:ind w:right="-213"/>
        <w:jc w:val="both"/>
        <w:rPr>
          <w:b/>
          <w:sz w:val="22"/>
          <w:szCs w:val="22"/>
        </w:rPr>
      </w:pPr>
    </w:p>
    <w:bookmarkEnd w:id="7"/>
    <w:bookmarkEnd w:id="8"/>
    <w:p w:rsidR="003B755C" w:rsidRPr="00657D69" w:rsidRDefault="005B3A62" w:rsidP="007D7828">
      <w:pPr>
        <w:ind w:right="-213"/>
        <w:jc w:val="both"/>
        <w:rPr>
          <w:sz w:val="22"/>
          <w:szCs w:val="22"/>
        </w:rPr>
      </w:pPr>
      <w:r>
        <w:rPr>
          <w:sz w:val="22"/>
          <w:szCs w:val="22"/>
        </w:rPr>
        <w:t>Sēde slēgta plkst. 12</w:t>
      </w:r>
      <w:r w:rsidR="003B755C" w:rsidRPr="006D4F43">
        <w:rPr>
          <w:sz w:val="22"/>
          <w:szCs w:val="22"/>
        </w:rPr>
        <w:t>:00</w:t>
      </w:r>
    </w:p>
    <w:p w:rsidR="003B755C" w:rsidRPr="00657D69" w:rsidRDefault="003B755C" w:rsidP="007D7828">
      <w:pPr>
        <w:ind w:right="-213"/>
        <w:jc w:val="both"/>
        <w:rPr>
          <w:sz w:val="22"/>
          <w:szCs w:val="22"/>
        </w:rPr>
      </w:pPr>
      <w:r w:rsidRPr="00657D69">
        <w:rPr>
          <w:sz w:val="22"/>
          <w:szCs w:val="22"/>
        </w:rPr>
        <w:t xml:space="preserve">Protokols sastādīts uz </w:t>
      </w:r>
      <w:r w:rsidR="00541C9E">
        <w:rPr>
          <w:sz w:val="22"/>
          <w:szCs w:val="22"/>
        </w:rPr>
        <w:t>4</w:t>
      </w:r>
      <w:r w:rsidRPr="00657D69">
        <w:rPr>
          <w:sz w:val="22"/>
          <w:szCs w:val="22"/>
        </w:rPr>
        <w:t xml:space="preserve"> (</w:t>
      </w:r>
      <w:r w:rsidR="00541C9E">
        <w:rPr>
          <w:sz w:val="22"/>
          <w:szCs w:val="22"/>
        </w:rPr>
        <w:t>četrām</w:t>
      </w:r>
      <w:bookmarkStart w:id="9" w:name="_GoBack"/>
      <w:bookmarkEnd w:id="9"/>
      <w:r w:rsidRPr="00657D69">
        <w:rPr>
          <w:sz w:val="22"/>
          <w:szCs w:val="22"/>
        </w:rPr>
        <w:t>) lapām</w:t>
      </w:r>
      <w:r>
        <w:rPr>
          <w:sz w:val="22"/>
          <w:szCs w:val="22"/>
        </w:rPr>
        <w:t xml:space="preserve"> ar 4 (četriem) pielikumiem</w:t>
      </w:r>
      <w:r w:rsidRPr="00657D69">
        <w:rPr>
          <w:sz w:val="22"/>
          <w:szCs w:val="22"/>
        </w:rPr>
        <w:t xml:space="preserve">, vienā oriģināleksemplārā. </w:t>
      </w:r>
    </w:p>
    <w:p w:rsidR="003B755C" w:rsidRDefault="003B755C" w:rsidP="007D7828">
      <w:pPr>
        <w:tabs>
          <w:tab w:val="center" w:pos="5040"/>
          <w:tab w:val="right" w:pos="8820"/>
        </w:tabs>
        <w:spacing w:before="120"/>
        <w:ind w:right="-213"/>
        <w:rPr>
          <w:sz w:val="22"/>
          <w:szCs w:val="22"/>
        </w:rPr>
      </w:pPr>
    </w:p>
    <w:p w:rsidR="003B755C" w:rsidRPr="00657D69" w:rsidRDefault="003B755C" w:rsidP="00DA3E10">
      <w:pPr>
        <w:tabs>
          <w:tab w:val="center" w:pos="5040"/>
          <w:tab w:val="right" w:pos="8820"/>
        </w:tabs>
        <w:spacing w:before="120"/>
        <w:ind w:right="-213"/>
        <w:rPr>
          <w:sz w:val="22"/>
          <w:szCs w:val="22"/>
        </w:rPr>
      </w:pPr>
      <w:r>
        <w:rPr>
          <w:sz w:val="22"/>
          <w:szCs w:val="22"/>
        </w:rPr>
        <w:t>Komisijas priekšsēdētājs                                                                        P.Plinte</w:t>
      </w:r>
    </w:p>
    <w:p w:rsidR="003B755C" w:rsidRPr="00657D69" w:rsidRDefault="003B755C" w:rsidP="007D7828">
      <w:pPr>
        <w:tabs>
          <w:tab w:val="center" w:pos="5040"/>
          <w:tab w:val="right" w:pos="8820"/>
        </w:tabs>
        <w:spacing w:before="120"/>
        <w:ind w:right="-213"/>
        <w:rPr>
          <w:sz w:val="22"/>
          <w:szCs w:val="22"/>
        </w:rPr>
      </w:pPr>
    </w:p>
    <w:p w:rsidR="003B755C" w:rsidRDefault="003B755C" w:rsidP="007D7828">
      <w:pPr>
        <w:tabs>
          <w:tab w:val="center" w:pos="5040"/>
          <w:tab w:val="right" w:pos="8820"/>
        </w:tabs>
        <w:spacing w:before="120"/>
        <w:ind w:right="-213"/>
        <w:rPr>
          <w:sz w:val="22"/>
          <w:szCs w:val="22"/>
        </w:rPr>
      </w:pPr>
    </w:p>
    <w:p w:rsidR="003B755C" w:rsidRPr="00657D69" w:rsidRDefault="003B755C" w:rsidP="007D7828">
      <w:pPr>
        <w:tabs>
          <w:tab w:val="center" w:pos="5040"/>
          <w:tab w:val="right" w:pos="8820"/>
        </w:tabs>
        <w:spacing w:before="120"/>
        <w:ind w:right="-213"/>
        <w:rPr>
          <w:sz w:val="22"/>
          <w:szCs w:val="22"/>
        </w:rPr>
      </w:pPr>
      <w:r w:rsidRPr="00657D69">
        <w:rPr>
          <w:sz w:val="22"/>
          <w:szCs w:val="22"/>
        </w:rPr>
        <w:t>Komisijas locekļi:</w:t>
      </w:r>
    </w:p>
    <w:p w:rsidR="003B755C" w:rsidRPr="00657D69" w:rsidRDefault="003B755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r>
      <w:r w:rsidRPr="00657D69">
        <w:rPr>
          <w:sz w:val="22"/>
          <w:szCs w:val="22"/>
        </w:rPr>
        <w:tab/>
      </w:r>
      <w:r>
        <w:rPr>
          <w:sz w:val="22"/>
          <w:szCs w:val="22"/>
        </w:rPr>
        <w:t xml:space="preserve">                              A.Kamarūts</w:t>
      </w:r>
    </w:p>
    <w:p w:rsidR="003B755C" w:rsidRPr="00657D69" w:rsidRDefault="003B755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t xml:space="preserve">        </w:t>
      </w:r>
    </w:p>
    <w:p w:rsidR="003B755C" w:rsidRPr="00657D69" w:rsidRDefault="003B755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r>
      <w:r w:rsidRPr="00657D69">
        <w:rPr>
          <w:sz w:val="22"/>
          <w:szCs w:val="22"/>
        </w:rPr>
        <w:tab/>
      </w:r>
      <w:r>
        <w:rPr>
          <w:sz w:val="22"/>
          <w:szCs w:val="22"/>
        </w:rPr>
        <w:t xml:space="preserve">                              </w:t>
      </w:r>
      <w:r w:rsidRPr="00657D69">
        <w:rPr>
          <w:sz w:val="22"/>
          <w:szCs w:val="22"/>
        </w:rPr>
        <w:t xml:space="preserve"> </w:t>
      </w:r>
      <w:r>
        <w:rPr>
          <w:sz w:val="22"/>
          <w:szCs w:val="22"/>
        </w:rPr>
        <w:t>L.Janberga</w:t>
      </w:r>
      <w:r w:rsidRPr="00657D69">
        <w:rPr>
          <w:sz w:val="22"/>
          <w:szCs w:val="22"/>
        </w:rPr>
        <w:t xml:space="preserve"> </w:t>
      </w:r>
    </w:p>
    <w:p w:rsidR="003B755C" w:rsidRPr="00657D69" w:rsidRDefault="003B755C" w:rsidP="007D7828">
      <w:pPr>
        <w:rPr>
          <w:sz w:val="22"/>
          <w:szCs w:val="22"/>
        </w:rPr>
      </w:pPr>
    </w:p>
    <w:p w:rsidR="003B755C" w:rsidRDefault="003B755C" w:rsidP="00673F23">
      <w:pPr>
        <w:rPr>
          <w:sz w:val="22"/>
          <w:szCs w:val="22"/>
        </w:rPr>
      </w:pPr>
    </w:p>
    <w:p w:rsidR="003B755C" w:rsidRDefault="003B755C" w:rsidP="00673F23">
      <w:pPr>
        <w:rPr>
          <w:sz w:val="22"/>
          <w:szCs w:val="22"/>
        </w:rPr>
      </w:pPr>
    </w:p>
    <w:p w:rsidR="003B755C" w:rsidRDefault="003B755C" w:rsidP="00673F23">
      <w:pPr>
        <w:rPr>
          <w:sz w:val="22"/>
          <w:szCs w:val="22"/>
        </w:rPr>
      </w:pPr>
    </w:p>
    <w:p w:rsidR="003B755C" w:rsidRDefault="003B755C" w:rsidP="00673F23">
      <w:pPr>
        <w:rPr>
          <w:sz w:val="22"/>
          <w:szCs w:val="22"/>
        </w:rPr>
      </w:pPr>
      <w:r w:rsidRPr="00657D69">
        <w:rPr>
          <w:sz w:val="22"/>
          <w:szCs w:val="22"/>
        </w:rPr>
        <w:t>Protokolēja:</w:t>
      </w:r>
      <w:r>
        <w:rPr>
          <w:sz w:val="22"/>
          <w:szCs w:val="22"/>
        </w:rPr>
        <w:t xml:space="preserve"> P.Plinte</w:t>
      </w: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Default="005B3A62" w:rsidP="00673F23">
      <w:pPr>
        <w:rPr>
          <w:sz w:val="22"/>
          <w:szCs w:val="22"/>
        </w:rPr>
      </w:pPr>
    </w:p>
    <w:p w:rsidR="005B3A62" w:rsidRPr="00657D69" w:rsidRDefault="005B3A62" w:rsidP="00673F23">
      <w:pPr>
        <w:rPr>
          <w:sz w:val="22"/>
          <w:szCs w:val="22"/>
        </w:rPr>
      </w:pPr>
    </w:p>
    <w:sectPr w:rsidR="005B3A62" w:rsidRPr="00657D69" w:rsidSect="007D7828">
      <w:pgSz w:w="11906" w:h="16838"/>
      <w:pgMar w:top="899"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31FD"/>
    <w:multiLevelType w:val="multilevel"/>
    <w:tmpl w:val="77B6262A"/>
    <w:lvl w:ilvl="0">
      <w:start w:val="1"/>
      <w:numFmt w:val="decimal"/>
      <w:lvlText w:val="%1."/>
      <w:legacy w:legacy="1" w:legacySpace="120" w:legacyIndent="360"/>
      <w:lvlJc w:val="left"/>
      <w:pPr>
        <w:ind w:left="540" w:hanging="360"/>
      </w:pPr>
      <w:rPr>
        <w:rFonts w:cs="Times New Roman"/>
      </w:rPr>
    </w:lvl>
    <w:lvl w:ilvl="1">
      <w:start w:val="2"/>
      <w:numFmt w:val="decimal"/>
      <w:lvlText w:val="%2"/>
      <w:legacy w:legacy="1" w:legacySpace="120" w:legacyIndent="360"/>
      <w:lvlJc w:val="left"/>
      <w:pPr>
        <w:ind w:left="720" w:hanging="360"/>
      </w:pPr>
      <w:rPr>
        <w:rFonts w:cs="Times New Roman"/>
      </w:rPr>
    </w:lvl>
    <w:lvl w:ilvl="2">
      <w:numFmt w:val="none"/>
      <w:lvlText w:val=""/>
      <w:legacy w:legacy="1" w:legacySpace="120" w:legacyIndent="360"/>
      <w:lvlJc w:val="left"/>
      <w:rPr>
        <w:rFonts w:cs="Times New Roman"/>
      </w:rPr>
    </w:lvl>
    <w:lvl w:ilvl="3">
      <w:numFmt w:val="none"/>
      <w:lvlText w:val=""/>
      <w:legacy w:legacy="1" w:legacySpace="120" w:legacyIndent="360"/>
      <w:lvlJc w:val="left"/>
      <w:rPr>
        <w:rFonts w:cs="Times New Roman"/>
      </w:rPr>
    </w:lvl>
    <w:lvl w:ilvl="4">
      <w:numFmt w:val="none"/>
      <w:lvlText w:val=""/>
      <w:legacy w:legacy="1" w:legacySpace="120" w:legacyIndent="360"/>
      <w:lvlJc w:val="left"/>
      <w:rPr>
        <w:rFonts w:cs="Times New Roman"/>
      </w:rPr>
    </w:lvl>
    <w:lvl w:ilvl="5">
      <w:numFmt w:val="none"/>
      <w:lvlText w:val=""/>
      <w:legacy w:legacy="1" w:legacySpace="120" w:legacyIndent="360"/>
      <w:lvlJc w:val="left"/>
      <w:rPr>
        <w:rFonts w:cs="Times New Roman"/>
      </w:rPr>
    </w:lvl>
    <w:lvl w:ilvl="6">
      <w:numFmt w:val="none"/>
      <w:lvlText w:val=""/>
      <w:legacy w:legacy="1" w:legacySpace="120" w:legacyIndent="360"/>
      <w:lvlJc w:val="left"/>
      <w:rPr>
        <w:rFonts w:cs="Times New Roman"/>
      </w:rPr>
    </w:lvl>
    <w:lvl w:ilvl="7">
      <w:numFmt w:val="none"/>
      <w:lvlText w:val=""/>
      <w:legacy w:legacy="1" w:legacySpace="120" w:legacyIndent="360"/>
      <w:lvlJc w:val="left"/>
      <w:rPr>
        <w:rFonts w:cs="Times New Roman"/>
      </w:rPr>
    </w:lvl>
    <w:lvl w:ilvl="8">
      <w:numFmt w:val="none"/>
      <w:lvlText w:val=""/>
      <w:legacy w:legacy="1" w:legacySpace="120" w:legacyIndent="360"/>
      <w:lvlJc w:val="left"/>
      <w:rPr>
        <w:rFonts w:cs="Times New Roman"/>
      </w:rPr>
    </w:lvl>
  </w:abstractNum>
  <w:abstractNum w:abstractNumId="1">
    <w:nsid w:val="18A4122E"/>
    <w:multiLevelType w:val="hybridMultilevel"/>
    <w:tmpl w:val="CA40AF26"/>
    <w:lvl w:ilvl="0" w:tplc="5B66D7D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FAB0C03"/>
    <w:multiLevelType w:val="hybridMultilevel"/>
    <w:tmpl w:val="1F2ADF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5A03D11"/>
    <w:multiLevelType w:val="hybridMultilevel"/>
    <w:tmpl w:val="01241D06"/>
    <w:lvl w:ilvl="0" w:tplc="3AAE7AF6">
      <w:start w:val="1"/>
      <w:numFmt w:val="bullet"/>
      <w:lvlText w:val=""/>
      <w:legacy w:legacy="1" w:legacySpace="360" w:legacyIndent="283"/>
      <w:lvlJc w:val="left"/>
      <w:pPr>
        <w:ind w:left="643"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92012F"/>
    <w:multiLevelType w:val="hybridMultilevel"/>
    <w:tmpl w:val="0EAC3F86"/>
    <w:lvl w:ilvl="0" w:tplc="71B8088A">
      <w:start w:val="1"/>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830592C"/>
    <w:multiLevelType w:val="hybridMultilevel"/>
    <w:tmpl w:val="653869E0"/>
    <w:lvl w:ilvl="0" w:tplc="3AAE7AF6">
      <w:start w:val="1"/>
      <w:numFmt w:val="bullet"/>
      <w:lvlText w:val=""/>
      <w:legacy w:legacy="1" w:legacySpace="0" w:legacyIndent="283"/>
      <w:lvlJc w:val="left"/>
      <w:pPr>
        <w:ind w:left="1701"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53"/>
    <w:rsid w:val="00006E81"/>
    <w:rsid w:val="0001476A"/>
    <w:rsid w:val="000408E2"/>
    <w:rsid w:val="0007159A"/>
    <w:rsid w:val="00075F30"/>
    <w:rsid w:val="00094A81"/>
    <w:rsid w:val="000A06DA"/>
    <w:rsid w:val="000B4FC5"/>
    <w:rsid w:val="000C0477"/>
    <w:rsid w:val="000C31A5"/>
    <w:rsid w:val="000C7460"/>
    <w:rsid w:val="000D1405"/>
    <w:rsid w:val="000F1831"/>
    <w:rsid w:val="000F3721"/>
    <w:rsid w:val="00111229"/>
    <w:rsid w:val="00127E7E"/>
    <w:rsid w:val="00145FAF"/>
    <w:rsid w:val="00145FE5"/>
    <w:rsid w:val="00151199"/>
    <w:rsid w:val="001652CC"/>
    <w:rsid w:val="0019034A"/>
    <w:rsid w:val="00191355"/>
    <w:rsid w:val="001969C7"/>
    <w:rsid w:val="001A43C9"/>
    <w:rsid w:val="001C2368"/>
    <w:rsid w:val="001D58A9"/>
    <w:rsid w:val="001D7780"/>
    <w:rsid w:val="001F4268"/>
    <w:rsid w:val="001F553B"/>
    <w:rsid w:val="0020229D"/>
    <w:rsid w:val="00202B2C"/>
    <w:rsid w:val="00205B99"/>
    <w:rsid w:val="002076E9"/>
    <w:rsid w:val="0021390D"/>
    <w:rsid w:val="00214EFC"/>
    <w:rsid w:val="00236793"/>
    <w:rsid w:val="002455E9"/>
    <w:rsid w:val="002655E2"/>
    <w:rsid w:val="00272C99"/>
    <w:rsid w:val="00274AED"/>
    <w:rsid w:val="00277928"/>
    <w:rsid w:val="00281179"/>
    <w:rsid w:val="002A14C2"/>
    <w:rsid w:val="002B131D"/>
    <w:rsid w:val="002B41AA"/>
    <w:rsid w:val="002D2B0B"/>
    <w:rsid w:val="002E30D2"/>
    <w:rsid w:val="002E46FF"/>
    <w:rsid w:val="002E4C52"/>
    <w:rsid w:val="002E50E4"/>
    <w:rsid w:val="003405D4"/>
    <w:rsid w:val="00341FB8"/>
    <w:rsid w:val="00344B2F"/>
    <w:rsid w:val="0035272C"/>
    <w:rsid w:val="00354B26"/>
    <w:rsid w:val="00363E39"/>
    <w:rsid w:val="003758DF"/>
    <w:rsid w:val="003B13DC"/>
    <w:rsid w:val="003B5A07"/>
    <w:rsid w:val="003B755C"/>
    <w:rsid w:val="003C71DD"/>
    <w:rsid w:val="003C7FBB"/>
    <w:rsid w:val="003E45D7"/>
    <w:rsid w:val="003F46FA"/>
    <w:rsid w:val="003F5560"/>
    <w:rsid w:val="00413452"/>
    <w:rsid w:val="00416578"/>
    <w:rsid w:val="00420FB9"/>
    <w:rsid w:val="00432753"/>
    <w:rsid w:val="00434D7D"/>
    <w:rsid w:val="00452F0A"/>
    <w:rsid w:val="004622D5"/>
    <w:rsid w:val="004634B0"/>
    <w:rsid w:val="00470CD2"/>
    <w:rsid w:val="0048502B"/>
    <w:rsid w:val="004972C3"/>
    <w:rsid w:val="004B2A3C"/>
    <w:rsid w:val="004B31F2"/>
    <w:rsid w:val="004B3AF0"/>
    <w:rsid w:val="004C67B9"/>
    <w:rsid w:val="00502AD0"/>
    <w:rsid w:val="00511A17"/>
    <w:rsid w:val="00524F22"/>
    <w:rsid w:val="0053144A"/>
    <w:rsid w:val="00541630"/>
    <w:rsid w:val="0054195A"/>
    <w:rsid w:val="00541C9E"/>
    <w:rsid w:val="00543F3C"/>
    <w:rsid w:val="00572D5D"/>
    <w:rsid w:val="0059035A"/>
    <w:rsid w:val="005B2F9C"/>
    <w:rsid w:val="005B3A62"/>
    <w:rsid w:val="005C6151"/>
    <w:rsid w:val="005F7A5F"/>
    <w:rsid w:val="00600BE0"/>
    <w:rsid w:val="006034A3"/>
    <w:rsid w:val="00603DB5"/>
    <w:rsid w:val="00612BC4"/>
    <w:rsid w:val="006364C8"/>
    <w:rsid w:val="00644482"/>
    <w:rsid w:val="00645579"/>
    <w:rsid w:val="00657D69"/>
    <w:rsid w:val="00661E03"/>
    <w:rsid w:val="00673F23"/>
    <w:rsid w:val="00682460"/>
    <w:rsid w:val="00683807"/>
    <w:rsid w:val="00683A00"/>
    <w:rsid w:val="006908ED"/>
    <w:rsid w:val="00691DF9"/>
    <w:rsid w:val="00697CED"/>
    <w:rsid w:val="006A4581"/>
    <w:rsid w:val="006A7090"/>
    <w:rsid w:val="006B5C12"/>
    <w:rsid w:val="006C7FC7"/>
    <w:rsid w:val="006D4F43"/>
    <w:rsid w:val="006E1B90"/>
    <w:rsid w:val="006E4ACF"/>
    <w:rsid w:val="006F2844"/>
    <w:rsid w:val="00703B35"/>
    <w:rsid w:val="00733459"/>
    <w:rsid w:val="00754ECA"/>
    <w:rsid w:val="0075552F"/>
    <w:rsid w:val="0076087B"/>
    <w:rsid w:val="007614F6"/>
    <w:rsid w:val="00762F24"/>
    <w:rsid w:val="007645F6"/>
    <w:rsid w:val="007905F6"/>
    <w:rsid w:val="00790F54"/>
    <w:rsid w:val="007A19C4"/>
    <w:rsid w:val="007B3BD5"/>
    <w:rsid w:val="007C16F6"/>
    <w:rsid w:val="007C40E0"/>
    <w:rsid w:val="007C5564"/>
    <w:rsid w:val="007D300F"/>
    <w:rsid w:val="007D3B7B"/>
    <w:rsid w:val="007D7828"/>
    <w:rsid w:val="007E7B75"/>
    <w:rsid w:val="007F041F"/>
    <w:rsid w:val="008012B4"/>
    <w:rsid w:val="008049CD"/>
    <w:rsid w:val="00823CBE"/>
    <w:rsid w:val="0083323C"/>
    <w:rsid w:val="00874B0B"/>
    <w:rsid w:val="00887487"/>
    <w:rsid w:val="008B5509"/>
    <w:rsid w:val="008C0658"/>
    <w:rsid w:val="008C632E"/>
    <w:rsid w:val="008D1361"/>
    <w:rsid w:val="008D4C74"/>
    <w:rsid w:val="008D5828"/>
    <w:rsid w:val="008E099B"/>
    <w:rsid w:val="008F60D1"/>
    <w:rsid w:val="00913BF7"/>
    <w:rsid w:val="009219A4"/>
    <w:rsid w:val="0092415F"/>
    <w:rsid w:val="009311E5"/>
    <w:rsid w:val="00933DF5"/>
    <w:rsid w:val="00942534"/>
    <w:rsid w:val="00952DF2"/>
    <w:rsid w:val="00954533"/>
    <w:rsid w:val="009646CC"/>
    <w:rsid w:val="0096578E"/>
    <w:rsid w:val="00971C8D"/>
    <w:rsid w:val="00991B75"/>
    <w:rsid w:val="00992F6B"/>
    <w:rsid w:val="00993BBE"/>
    <w:rsid w:val="009B14BD"/>
    <w:rsid w:val="009D0B5E"/>
    <w:rsid w:val="009F07F9"/>
    <w:rsid w:val="00A11442"/>
    <w:rsid w:val="00A42DA1"/>
    <w:rsid w:val="00A52F3F"/>
    <w:rsid w:val="00A55D0B"/>
    <w:rsid w:val="00A63954"/>
    <w:rsid w:val="00A749F2"/>
    <w:rsid w:val="00A90FB1"/>
    <w:rsid w:val="00AB0AE4"/>
    <w:rsid w:val="00AC5D68"/>
    <w:rsid w:val="00AF2691"/>
    <w:rsid w:val="00AF587F"/>
    <w:rsid w:val="00B0481D"/>
    <w:rsid w:val="00B1710B"/>
    <w:rsid w:val="00B17F7A"/>
    <w:rsid w:val="00B20CD7"/>
    <w:rsid w:val="00B21465"/>
    <w:rsid w:val="00B24CAB"/>
    <w:rsid w:val="00B263B8"/>
    <w:rsid w:val="00B30C6E"/>
    <w:rsid w:val="00B540AB"/>
    <w:rsid w:val="00B70B1B"/>
    <w:rsid w:val="00B72D09"/>
    <w:rsid w:val="00B74A7C"/>
    <w:rsid w:val="00B80706"/>
    <w:rsid w:val="00B80AEB"/>
    <w:rsid w:val="00BA2073"/>
    <w:rsid w:val="00BB02A7"/>
    <w:rsid w:val="00BC7BEB"/>
    <w:rsid w:val="00BF77AF"/>
    <w:rsid w:val="00C14789"/>
    <w:rsid w:val="00C23319"/>
    <w:rsid w:val="00C27333"/>
    <w:rsid w:val="00C60598"/>
    <w:rsid w:val="00C60CC9"/>
    <w:rsid w:val="00C6244A"/>
    <w:rsid w:val="00C8039C"/>
    <w:rsid w:val="00C939DB"/>
    <w:rsid w:val="00C941B2"/>
    <w:rsid w:val="00C97021"/>
    <w:rsid w:val="00C974BB"/>
    <w:rsid w:val="00CF1445"/>
    <w:rsid w:val="00CF6D46"/>
    <w:rsid w:val="00D0079E"/>
    <w:rsid w:val="00D2639F"/>
    <w:rsid w:val="00D425D2"/>
    <w:rsid w:val="00D466C4"/>
    <w:rsid w:val="00D6281D"/>
    <w:rsid w:val="00D809C7"/>
    <w:rsid w:val="00DA1E82"/>
    <w:rsid w:val="00DA2DF9"/>
    <w:rsid w:val="00DA3E10"/>
    <w:rsid w:val="00DC228C"/>
    <w:rsid w:val="00DC6B6F"/>
    <w:rsid w:val="00DD1273"/>
    <w:rsid w:val="00DE3E73"/>
    <w:rsid w:val="00E177A4"/>
    <w:rsid w:val="00E21F29"/>
    <w:rsid w:val="00E37502"/>
    <w:rsid w:val="00E41453"/>
    <w:rsid w:val="00E62618"/>
    <w:rsid w:val="00E666CD"/>
    <w:rsid w:val="00E67935"/>
    <w:rsid w:val="00E708CA"/>
    <w:rsid w:val="00E71613"/>
    <w:rsid w:val="00E80E8A"/>
    <w:rsid w:val="00E92F69"/>
    <w:rsid w:val="00EA04DA"/>
    <w:rsid w:val="00EA68F1"/>
    <w:rsid w:val="00EB073B"/>
    <w:rsid w:val="00EB10B4"/>
    <w:rsid w:val="00EC0890"/>
    <w:rsid w:val="00EC0F10"/>
    <w:rsid w:val="00EC11C6"/>
    <w:rsid w:val="00EF562B"/>
    <w:rsid w:val="00F0528E"/>
    <w:rsid w:val="00F07936"/>
    <w:rsid w:val="00F10202"/>
    <w:rsid w:val="00F163F9"/>
    <w:rsid w:val="00F477C9"/>
    <w:rsid w:val="00F529D8"/>
    <w:rsid w:val="00F715F9"/>
    <w:rsid w:val="00F743BF"/>
    <w:rsid w:val="00F77FD8"/>
    <w:rsid w:val="00F8169E"/>
    <w:rsid w:val="00F9305D"/>
    <w:rsid w:val="00F94523"/>
    <w:rsid w:val="00F96C5B"/>
    <w:rsid w:val="00FB3F8B"/>
    <w:rsid w:val="00FC1B5A"/>
    <w:rsid w:val="00FC63CF"/>
    <w:rsid w:val="00FD6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41453"/>
    <w:pPr>
      <w:overflowPunct w:val="0"/>
      <w:autoSpaceDE w:val="0"/>
      <w:autoSpaceDN w:val="0"/>
      <w:adjustRightInd w:val="0"/>
      <w:spacing w:line="360" w:lineRule="auto"/>
      <w:ind w:right="-765"/>
      <w:jc w:val="both"/>
      <w:textAlignment w:val="baseline"/>
    </w:pPr>
    <w:rPr>
      <w:sz w:val="22"/>
      <w:szCs w:val="20"/>
    </w:rPr>
  </w:style>
  <w:style w:type="character" w:customStyle="1" w:styleId="BodyText2Char">
    <w:name w:val="Body Text 2 Char"/>
    <w:basedOn w:val="DefaultParagraphFont"/>
    <w:link w:val="BodyText2"/>
    <w:uiPriority w:val="99"/>
    <w:semiHidden/>
    <w:rsid w:val="00D31D37"/>
    <w:rPr>
      <w:sz w:val="24"/>
      <w:szCs w:val="24"/>
      <w:lang w:eastAsia="en-US"/>
    </w:rPr>
  </w:style>
  <w:style w:type="table" w:styleId="TableGrid">
    <w:name w:val="Table Grid"/>
    <w:basedOn w:val="TableNormal"/>
    <w:uiPriority w:val="99"/>
    <w:rsid w:val="00E4145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758DF"/>
    <w:pPr>
      <w:ind w:left="720"/>
      <w:contextualSpacing/>
    </w:pPr>
  </w:style>
  <w:style w:type="paragraph" w:styleId="BalloonText">
    <w:name w:val="Balloon Text"/>
    <w:basedOn w:val="Normal"/>
    <w:link w:val="BalloonTextChar"/>
    <w:uiPriority w:val="99"/>
    <w:semiHidden/>
    <w:unhideWhenUsed/>
    <w:rsid w:val="00543F3C"/>
    <w:rPr>
      <w:rFonts w:ascii="Tahoma" w:hAnsi="Tahoma" w:cs="Tahoma"/>
      <w:sz w:val="16"/>
      <w:szCs w:val="16"/>
    </w:rPr>
  </w:style>
  <w:style w:type="character" w:customStyle="1" w:styleId="BalloonTextChar">
    <w:name w:val="Balloon Text Char"/>
    <w:basedOn w:val="DefaultParagraphFont"/>
    <w:link w:val="BalloonText"/>
    <w:uiPriority w:val="99"/>
    <w:semiHidden/>
    <w:rsid w:val="00543F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41453"/>
    <w:pPr>
      <w:overflowPunct w:val="0"/>
      <w:autoSpaceDE w:val="0"/>
      <w:autoSpaceDN w:val="0"/>
      <w:adjustRightInd w:val="0"/>
      <w:spacing w:line="360" w:lineRule="auto"/>
      <w:ind w:right="-765"/>
      <w:jc w:val="both"/>
      <w:textAlignment w:val="baseline"/>
    </w:pPr>
    <w:rPr>
      <w:sz w:val="22"/>
      <w:szCs w:val="20"/>
    </w:rPr>
  </w:style>
  <w:style w:type="character" w:customStyle="1" w:styleId="BodyText2Char">
    <w:name w:val="Body Text 2 Char"/>
    <w:basedOn w:val="DefaultParagraphFont"/>
    <w:link w:val="BodyText2"/>
    <w:uiPriority w:val="99"/>
    <w:semiHidden/>
    <w:rsid w:val="00D31D37"/>
    <w:rPr>
      <w:sz w:val="24"/>
      <w:szCs w:val="24"/>
      <w:lang w:eastAsia="en-US"/>
    </w:rPr>
  </w:style>
  <w:style w:type="table" w:styleId="TableGrid">
    <w:name w:val="Table Grid"/>
    <w:basedOn w:val="TableNormal"/>
    <w:uiPriority w:val="99"/>
    <w:rsid w:val="00E4145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758DF"/>
    <w:pPr>
      <w:ind w:left="720"/>
      <w:contextualSpacing/>
    </w:pPr>
  </w:style>
  <w:style w:type="paragraph" w:styleId="BalloonText">
    <w:name w:val="Balloon Text"/>
    <w:basedOn w:val="Normal"/>
    <w:link w:val="BalloonTextChar"/>
    <w:uiPriority w:val="99"/>
    <w:semiHidden/>
    <w:unhideWhenUsed/>
    <w:rsid w:val="00543F3C"/>
    <w:rPr>
      <w:rFonts w:ascii="Tahoma" w:hAnsi="Tahoma" w:cs="Tahoma"/>
      <w:sz w:val="16"/>
      <w:szCs w:val="16"/>
    </w:rPr>
  </w:style>
  <w:style w:type="character" w:customStyle="1" w:styleId="BalloonTextChar">
    <w:name w:val="Balloon Text Char"/>
    <w:basedOn w:val="DefaultParagraphFont"/>
    <w:link w:val="BalloonText"/>
    <w:uiPriority w:val="99"/>
    <w:semiHidden/>
    <w:rsid w:val="00543F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6490</Words>
  <Characters>3700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JŪRMALAS PILSĒTAS DOMES</vt:lpstr>
    </vt:vector>
  </TitlesOfParts>
  <Company>Jurmalas pilsetas dome</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JŪRMALAS PILSĒTAS DOMES</dc:title>
  <dc:creator>JPD</dc:creator>
  <cp:lastModifiedBy>user</cp:lastModifiedBy>
  <cp:revision>5</cp:revision>
  <cp:lastPrinted>2014-11-21T12:28:00Z</cp:lastPrinted>
  <dcterms:created xsi:type="dcterms:W3CDTF">2014-08-05T05:06:00Z</dcterms:created>
  <dcterms:modified xsi:type="dcterms:W3CDTF">2014-11-22T12:46:00Z</dcterms:modified>
</cp:coreProperties>
</file>